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7862" w14:textId="3AE0A704" w:rsidR="00796648" w:rsidRPr="00631437" w:rsidRDefault="00796648" w:rsidP="00A211DF">
      <w:pPr>
        <w:jc w:val="center"/>
        <w:rPr>
          <w:rFonts w:ascii="Calibri" w:eastAsia="Inter" w:hAnsi="Calibri" w:cs="Inter"/>
          <w:b/>
          <w:sz w:val="32"/>
          <w:szCs w:val="32"/>
        </w:rPr>
      </w:pPr>
      <w:r w:rsidRPr="00631437">
        <w:rPr>
          <w:rFonts w:ascii="Calibri" w:eastAsia="Inter" w:hAnsi="Calibri" w:cs="Inter"/>
          <w:b/>
          <w:sz w:val="32"/>
          <w:szCs w:val="32"/>
        </w:rPr>
        <w:t xml:space="preserve">Índice Nacional de Precios al Consumidor (INPC), </w:t>
      </w:r>
      <w:r w:rsidR="00CD6EF7">
        <w:rPr>
          <w:rFonts w:ascii="Calibri" w:eastAsia="Inter" w:hAnsi="Calibri" w:cs="Inter"/>
          <w:b/>
          <w:sz w:val="32"/>
          <w:szCs w:val="32"/>
        </w:rPr>
        <w:t xml:space="preserve">1q </w:t>
      </w:r>
      <w:r w:rsidR="00D21593">
        <w:rPr>
          <w:rFonts w:ascii="Calibri" w:eastAsia="Inter" w:hAnsi="Calibri" w:cs="Inter"/>
          <w:b/>
          <w:sz w:val="32"/>
          <w:szCs w:val="32"/>
        </w:rPr>
        <w:t>diciembre</w:t>
      </w:r>
      <w:r w:rsidRPr="00631437">
        <w:rPr>
          <w:rFonts w:ascii="Calibri" w:eastAsia="Inter" w:hAnsi="Calibri" w:cs="Inter"/>
          <w:b/>
          <w:sz w:val="32"/>
          <w:szCs w:val="32"/>
        </w:rPr>
        <w:t xml:space="preserve"> 2024</w:t>
      </w:r>
    </w:p>
    <w:p w14:paraId="06DB709E" w14:textId="14FC972A" w:rsidR="000A2160" w:rsidRPr="00A211DF" w:rsidRDefault="00796648" w:rsidP="00A211DF">
      <w:pPr>
        <w:jc w:val="center"/>
        <w:rPr>
          <w:rFonts w:ascii="Calibri" w:eastAsia="Calibri" w:hAnsi="Calibri"/>
          <w:bCs/>
          <w:sz w:val="20"/>
          <w:szCs w:val="20"/>
          <w:lang w:val="es-MX"/>
        </w:rPr>
      </w:pPr>
      <w:r w:rsidRPr="00A211DF">
        <w:rPr>
          <w:rFonts w:ascii="Calibri" w:eastAsia="Calibri" w:hAnsi="Calibri"/>
          <w:bCs/>
          <w:sz w:val="20"/>
          <w:szCs w:val="20"/>
          <w:lang w:val="es-MX"/>
        </w:rPr>
        <w:t xml:space="preserve">Próxima publicación sobre la </w:t>
      </w:r>
      <w:r w:rsidRPr="00A211DF">
        <w:rPr>
          <w:rFonts w:ascii="Calibri" w:eastAsia="Calibri" w:hAnsi="Calibri"/>
          <w:b/>
          <w:sz w:val="20"/>
          <w:szCs w:val="20"/>
          <w:lang w:val="es-MX"/>
        </w:rPr>
        <w:t xml:space="preserve">inflación de </w:t>
      </w:r>
      <w:r w:rsidR="00D21593">
        <w:rPr>
          <w:rFonts w:ascii="Calibri" w:eastAsia="Calibri" w:hAnsi="Calibri"/>
          <w:b/>
          <w:sz w:val="20"/>
          <w:szCs w:val="20"/>
          <w:lang w:val="es-MX"/>
        </w:rPr>
        <w:t>diciembre</w:t>
      </w:r>
      <w:r w:rsidRPr="00A211DF">
        <w:rPr>
          <w:rFonts w:ascii="Calibri" w:eastAsia="Calibri" w:hAnsi="Calibri"/>
          <w:bCs/>
          <w:sz w:val="20"/>
          <w:szCs w:val="20"/>
          <w:lang w:val="es-MX"/>
        </w:rPr>
        <w:t xml:space="preserve">: </w:t>
      </w:r>
      <w:r w:rsidR="00CD6EF7">
        <w:rPr>
          <w:rFonts w:ascii="Calibri" w:eastAsia="Calibri" w:hAnsi="Calibri"/>
          <w:bCs/>
          <w:sz w:val="20"/>
          <w:szCs w:val="20"/>
          <w:lang w:val="es-MX"/>
        </w:rPr>
        <w:t>0</w:t>
      </w:r>
      <w:r w:rsidR="00F212E2">
        <w:rPr>
          <w:rFonts w:ascii="Calibri" w:eastAsia="Calibri" w:hAnsi="Calibri"/>
          <w:bCs/>
          <w:sz w:val="20"/>
          <w:szCs w:val="20"/>
          <w:lang w:val="es-MX"/>
        </w:rPr>
        <w:t>9</w:t>
      </w:r>
      <w:r w:rsidRPr="00A211DF">
        <w:rPr>
          <w:rFonts w:ascii="Calibri" w:eastAsia="Calibri" w:hAnsi="Calibri"/>
          <w:bCs/>
          <w:sz w:val="20"/>
          <w:szCs w:val="20"/>
          <w:lang w:val="es-MX"/>
        </w:rPr>
        <w:t xml:space="preserve"> de </w:t>
      </w:r>
      <w:r w:rsidR="00D21593">
        <w:rPr>
          <w:rFonts w:ascii="Calibri" w:eastAsia="Calibri" w:hAnsi="Calibri"/>
          <w:bCs/>
          <w:sz w:val="20"/>
          <w:szCs w:val="20"/>
          <w:lang w:val="es-MX"/>
        </w:rPr>
        <w:t>enero</w:t>
      </w:r>
    </w:p>
    <w:p w14:paraId="0C9B0C7E" w14:textId="77777777" w:rsidR="004733CB" w:rsidRPr="0045395E" w:rsidRDefault="004733CB" w:rsidP="00A211DF">
      <w:pPr>
        <w:jc w:val="both"/>
        <w:rPr>
          <w:rFonts w:ascii="Calibri" w:eastAsia="Calibri" w:hAnsi="Calibri"/>
          <w:bCs/>
          <w:sz w:val="10"/>
          <w:szCs w:val="10"/>
          <w:lang w:val="es-MX"/>
        </w:rPr>
      </w:pPr>
    </w:p>
    <w:p w14:paraId="789366EB" w14:textId="356FA1D9" w:rsidR="004733CB" w:rsidRPr="007E4391" w:rsidRDefault="004733CB" w:rsidP="007E4391">
      <w:pPr>
        <w:pStyle w:val="Prrafodelista"/>
        <w:numPr>
          <w:ilvl w:val="0"/>
          <w:numId w:val="15"/>
        </w:numPr>
        <w:jc w:val="both"/>
        <w:rPr>
          <w:rFonts w:ascii="Calibri" w:eastAsia="Calibri" w:hAnsi="Calibri"/>
          <w:b/>
          <w:lang w:val="es-MX"/>
        </w:rPr>
      </w:pPr>
      <w:r w:rsidRPr="007E4391">
        <w:rPr>
          <w:rFonts w:ascii="Calibri" w:eastAsia="Calibri" w:hAnsi="Calibri"/>
          <w:b/>
          <w:lang w:val="es-MX"/>
        </w:rPr>
        <w:t>Resumen</w:t>
      </w:r>
    </w:p>
    <w:p w14:paraId="65C4D717" w14:textId="77777777" w:rsidR="004733CB" w:rsidRPr="0045395E" w:rsidRDefault="004733CB" w:rsidP="00A211DF">
      <w:pPr>
        <w:jc w:val="both"/>
        <w:rPr>
          <w:rFonts w:ascii="Calibri" w:eastAsia="Calibri" w:hAnsi="Calibri"/>
          <w:bCs/>
          <w:sz w:val="10"/>
          <w:szCs w:val="10"/>
          <w:lang w:val="es-MX"/>
        </w:rPr>
      </w:pPr>
    </w:p>
    <w:p w14:paraId="24B988BD" w14:textId="33A27363" w:rsidR="00E341B4" w:rsidRPr="00E341B4" w:rsidRDefault="00E341B4" w:rsidP="00E341B4">
      <w:pPr>
        <w:jc w:val="both"/>
        <w:rPr>
          <w:rFonts w:ascii="Calibri" w:eastAsia="Calibri" w:hAnsi="Calibri"/>
          <w:bCs/>
          <w:sz w:val="20"/>
          <w:szCs w:val="20"/>
          <w:lang w:val="es-MX"/>
        </w:rPr>
      </w:pPr>
      <w:r w:rsidRPr="00E341B4">
        <w:rPr>
          <w:rFonts w:ascii="Calibri" w:eastAsia="Calibri" w:hAnsi="Calibri"/>
          <w:bCs/>
          <w:sz w:val="20"/>
          <w:szCs w:val="20"/>
          <w:lang w:val="es-MX"/>
        </w:rPr>
        <w:t>La inflación en México continuó desacelerándose en la primera quincena de diciembre,</w:t>
      </w:r>
      <w:r>
        <w:rPr>
          <w:rFonts w:ascii="Calibri" w:eastAsia="Calibri" w:hAnsi="Calibri"/>
          <w:bCs/>
          <w:sz w:val="20"/>
          <w:szCs w:val="20"/>
          <w:lang w:val="es-MX"/>
        </w:rPr>
        <w:t xml:space="preserve"> </w:t>
      </w:r>
      <w:r w:rsidRPr="00E341B4">
        <w:rPr>
          <w:rFonts w:ascii="Calibri" w:eastAsia="Calibri" w:hAnsi="Calibri"/>
          <w:bCs/>
          <w:sz w:val="20"/>
          <w:szCs w:val="20"/>
          <w:lang w:val="es-MX"/>
        </w:rPr>
        <w:t>tanto a tasa quincenal</w:t>
      </w:r>
      <w:r>
        <w:rPr>
          <w:rFonts w:ascii="Calibri" w:eastAsia="Calibri" w:hAnsi="Calibri"/>
          <w:bCs/>
          <w:sz w:val="20"/>
          <w:szCs w:val="20"/>
          <w:lang w:val="es-MX"/>
        </w:rPr>
        <w:t xml:space="preserve"> </w:t>
      </w:r>
      <w:r w:rsidRPr="00E341B4">
        <w:rPr>
          <w:rFonts w:ascii="Calibri" w:eastAsia="Calibri" w:hAnsi="Calibri"/>
          <w:bCs/>
          <w:sz w:val="20"/>
          <w:szCs w:val="20"/>
          <w:lang w:val="es-MX"/>
        </w:rPr>
        <w:t>como anual. Sin embargo, tanto el componente subyacente como el no subyacente muestran señales de estar</w:t>
      </w:r>
      <w:r>
        <w:rPr>
          <w:rFonts w:ascii="Calibri" w:eastAsia="Calibri" w:hAnsi="Calibri"/>
          <w:bCs/>
          <w:sz w:val="20"/>
          <w:szCs w:val="20"/>
          <w:lang w:val="es-MX"/>
        </w:rPr>
        <w:t xml:space="preserve"> </w:t>
      </w:r>
      <w:r w:rsidRPr="00E341B4">
        <w:rPr>
          <w:rFonts w:ascii="Calibri" w:eastAsia="Calibri" w:hAnsi="Calibri"/>
          <w:bCs/>
          <w:sz w:val="20"/>
          <w:szCs w:val="20"/>
          <w:lang w:val="es-MX"/>
        </w:rPr>
        <w:t>agotando el espacio de disminución.</w:t>
      </w:r>
      <w:r>
        <w:rPr>
          <w:rFonts w:ascii="Calibri" w:eastAsia="Calibri" w:hAnsi="Calibri"/>
          <w:bCs/>
          <w:sz w:val="20"/>
          <w:szCs w:val="20"/>
          <w:lang w:val="es-MX"/>
        </w:rPr>
        <w:t xml:space="preserve"> </w:t>
      </w:r>
      <w:r w:rsidRPr="00E341B4">
        <w:rPr>
          <w:rFonts w:ascii="Calibri" w:eastAsia="Calibri" w:hAnsi="Calibri"/>
          <w:bCs/>
          <w:sz w:val="20"/>
          <w:szCs w:val="20"/>
          <w:lang w:val="es-MX"/>
        </w:rPr>
        <w:t>Además, persisten riesgos que podrían ejercer presiones al alza, entre los que destacan:</w:t>
      </w:r>
    </w:p>
    <w:p w14:paraId="7D2E2887" w14:textId="77777777" w:rsidR="00E341B4" w:rsidRPr="00E341B4" w:rsidRDefault="00E341B4" w:rsidP="00E341B4">
      <w:pPr>
        <w:jc w:val="both"/>
        <w:rPr>
          <w:rFonts w:ascii="Calibri" w:eastAsia="Calibri" w:hAnsi="Calibri"/>
          <w:bCs/>
          <w:sz w:val="10"/>
          <w:szCs w:val="10"/>
          <w:lang w:val="es-MX"/>
        </w:rPr>
      </w:pPr>
    </w:p>
    <w:p w14:paraId="78FE439E" w14:textId="77777777" w:rsidR="00E341B4" w:rsidRDefault="00E341B4" w:rsidP="00E341B4">
      <w:pPr>
        <w:pStyle w:val="Prrafodelista"/>
        <w:numPr>
          <w:ilvl w:val="0"/>
          <w:numId w:val="24"/>
        </w:numPr>
        <w:jc w:val="both"/>
        <w:rPr>
          <w:rFonts w:ascii="Calibri" w:eastAsia="Calibri" w:hAnsi="Calibri"/>
          <w:bCs/>
          <w:sz w:val="20"/>
          <w:szCs w:val="20"/>
          <w:lang w:val="es-MX"/>
        </w:rPr>
      </w:pPr>
      <w:r w:rsidRPr="00E341B4">
        <w:rPr>
          <w:rFonts w:ascii="Calibri" w:eastAsia="Calibri" w:hAnsi="Calibri"/>
          <w:bCs/>
          <w:sz w:val="20"/>
          <w:szCs w:val="20"/>
          <w:lang w:val="es-MX"/>
        </w:rPr>
        <w:t>El gobierno entrante de Donald Trump y sus posturas proteccionistas, sobre todo en materia comercial y migratoria.</w:t>
      </w:r>
    </w:p>
    <w:p w14:paraId="2225C398" w14:textId="77777777" w:rsidR="00E341B4" w:rsidRDefault="00E341B4" w:rsidP="00E341B4">
      <w:pPr>
        <w:pStyle w:val="Prrafodelista"/>
        <w:numPr>
          <w:ilvl w:val="0"/>
          <w:numId w:val="24"/>
        </w:numPr>
        <w:jc w:val="both"/>
        <w:rPr>
          <w:rFonts w:ascii="Calibri" w:eastAsia="Calibri" w:hAnsi="Calibri"/>
          <w:bCs/>
          <w:sz w:val="20"/>
          <w:szCs w:val="20"/>
          <w:lang w:val="es-MX"/>
        </w:rPr>
      </w:pPr>
      <w:r w:rsidRPr="00E341B4">
        <w:rPr>
          <w:rFonts w:ascii="Calibri" w:eastAsia="Calibri" w:hAnsi="Calibri"/>
          <w:bCs/>
          <w:sz w:val="20"/>
          <w:szCs w:val="20"/>
          <w:lang w:val="es-MX"/>
        </w:rPr>
        <w:t>La depreciación del peso mexicano, que encarece los bienes importados y podría seguir presionando al</w:t>
      </w:r>
      <w:r>
        <w:rPr>
          <w:rFonts w:ascii="Calibri" w:eastAsia="Calibri" w:hAnsi="Calibri"/>
          <w:bCs/>
          <w:sz w:val="20"/>
          <w:szCs w:val="20"/>
          <w:lang w:val="es-MX"/>
        </w:rPr>
        <w:t xml:space="preserve"> </w:t>
      </w:r>
      <w:r w:rsidRPr="00E341B4">
        <w:rPr>
          <w:rFonts w:ascii="Calibri" w:eastAsia="Calibri" w:hAnsi="Calibri"/>
          <w:bCs/>
          <w:sz w:val="20"/>
          <w:szCs w:val="20"/>
          <w:lang w:val="es-MX"/>
        </w:rPr>
        <w:t>alza las mercancías.</w:t>
      </w:r>
    </w:p>
    <w:p w14:paraId="0D55D4DA" w14:textId="77777777" w:rsidR="00E341B4" w:rsidRDefault="00E341B4" w:rsidP="00E341B4">
      <w:pPr>
        <w:pStyle w:val="Prrafodelista"/>
        <w:numPr>
          <w:ilvl w:val="0"/>
          <w:numId w:val="24"/>
        </w:numPr>
        <w:jc w:val="both"/>
        <w:rPr>
          <w:rFonts w:ascii="Calibri" w:eastAsia="Calibri" w:hAnsi="Calibri"/>
          <w:bCs/>
          <w:sz w:val="20"/>
          <w:szCs w:val="20"/>
          <w:lang w:val="es-MX"/>
        </w:rPr>
      </w:pPr>
      <w:r w:rsidRPr="00E341B4">
        <w:rPr>
          <w:rFonts w:ascii="Calibri" w:eastAsia="Calibri" w:hAnsi="Calibri"/>
          <w:bCs/>
          <w:sz w:val="20"/>
          <w:szCs w:val="20"/>
          <w:lang w:val="es-MX"/>
        </w:rPr>
        <w:t>E</w:t>
      </w:r>
      <w:r w:rsidRPr="00E341B4">
        <w:rPr>
          <w:rFonts w:ascii="Calibri" w:eastAsia="Calibri" w:hAnsi="Calibri"/>
          <w:bCs/>
          <w:sz w:val="20"/>
          <w:szCs w:val="20"/>
          <w:lang w:val="es-MX"/>
        </w:rPr>
        <w:t>l elevado déficit presupuestario.</w:t>
      </w:r>
    </w:p>
    <w:p w14:paraId="0EED146C" w14:textId="77777777" w:rsidR="00E341B4" w:rsidRDefault="00E341B4" w:rsidP="00E341B4">
      <w:pPr>
        <w:pStyle w:val="Prrafodelista"/>
        <w:numPr>
          <w:ilvl w:val="0"/>
          <w:numId w:val="24"/>
        </w:numPr>
        <w:jc w:val="both"/>
        <w:rPr>
          <w:rFonts w:ascii="Calibri" w:eastAsia="Calibri" w:hAnsi="Calibri"/>
          <w:bCs/>
          <w:sz w:val="20"/>
          <w:szCs w:val="20"/>
          <w:lang w:val="es-MX"/>
        </w:rPr>
      </w:pPr>
      <w:r w:rsidRPr="00E341B4">
        <w:rPr>
          <w:rFonts w:ascii="Calibri" w:eastAsia="Calibri" w:hAnsi="Calibri"/>
          <w:bCs/>
          <w:sz w:val="20"/>
          <w:szCs w:val="20"/>
          <w:lang w:val="es-MX"/>
        </w:rPr>
        <w:t>El incremento en el salario mínimo y demás salarios contractuales.</w:t>
      </w:r>
    </w:p>
    <w:p w14:paraId="39B0A5AF" w14:textId="1BB87855" w:rsidR="00E341B4" w:rsidRPr="00E341B4" w:rsidRDefault="00E341B4" w:rsidP="00E341B4">
      <w:pPr>
        <w:pStyle w:val="Prrafodelista"/>
        <w:numPr>
          <w:ilvl w:val="0"/>
          <w:numId w:val="24"/>
        </w:numPr>
        <w:jc w:val="both"/>
        <w:rPr>
          <w:rFonts w:ascii="Calibri" w:eastAsia="Calibri" w:hAnsi="Calibri"/>
          <w:bCs/>
          <w:sz w:val="20"/>
          <w:szCs w:val="20"/>
          <w:lang w:val="es-MX"/>
        </w:rPr>
      </w:pPr>
      <w:r w:rsidRPr="00E341B4">
        <w:rPr>
          <w:rFonts w:ascii="Calibri" w:eastAsia="Calibri" w:hAnsi="Calibri"/>
          <w:bCs/>
          <w:sz w:val="20"/>
          <w:szCs w:val="20"/>
          <w:lang w:val="es-MX"/>
        </w:rPr>
        <w:t>La inseguridad pública, que impacta particularmente a los productos agropecuarios y a los servicios.</w:t>
      </w:r>
    </w:p>
    <w:p w14:paraId="48D0FB46" w14:textId="77777777" w:rsidR="00E341B4" w:rsidRPr="00E341B4" w:rsidRDefault="00E341B4" w:rsidP="00E341B4">
      <w:pPr>
        <w:jc w:val="both"/>
        <w:rPr>
          <w:rFonts w:ascii="Calibri" w:eastAsia="Calibri" w:hAnsi="Calibri"/>
          <w:bCs/>
          <w:sz w:val="10"/>
          <w:szCs w:val="10"/>
          <w:lang w:val="es-MX"/>
        </w:rPr>
      </w:pPr>
    </w:p>
    <w:p w14:paraId="5AB36761" w14:textId="2270D6D1" w:rsidR="001E6A78" w:rsidRDefault="00E341B4" w:rsidP="00E341B4">
      <w:pPr>
        <w:jc w:val="both"/>
        <w:rPr>
          <w:rFonts w:ascii="Calibri" w:eastAsia="Calibri" w:hAnsi="Calibri"/>
          <w:bCs/>
          <w:sz w:val="20"/>
          <w:szCs w:val="20"/>
          <w:lang w:val="es-MX"/>
        </w:rPr>
      </w:pPr>
      <w:r w:rsidRPr="00E341B4">
        <w:rPr>
          <w:rFonts w:ascii="Calibri" w:eastAsia="Calibri" w:hAnsi="Calibri"/>
          <w:bCs/>
          <w:sz w:val="20"/>
          <w:szCs w:val="20"/>
          <w:lang w:val="es-MX"/>
        </w:rPr>
        <w:t>Bajo este contexto, Grupo Financiero BASE mantiene su proyección de inflación de cierre de año 2024 en 4.4% y</w:t>
      </w:r>
      <w:r>
        <w:rPr>
          <w:rFonts w:ascii="Calibri" w:eastAsia="Calibri" w:hAnsi="Calibri"/>
          <w:bCs/>
          <w:sz w:val="20"/>
          <w:szCs w:val="20"/>
          <w:lang w:val="es-MX"/>
        </w:rPr>
        <w:t xml:space="preserve"> </w:t>
      </w:r>
      <w:r w:rsidRPr="00E341B4">
        <w:rPr>
          <w:rFonts w:ascii="Calibri" w:eastAsia="Calibri" w:hAnsi="Calibri"/>
          <w:bCs/>
          <w:sz w:val="20"/>
          <w:szCs w:val="20"/>
          <w:lang w:val="es-MX"/>
        </w:rPr>
        <w:t>de 4.1% para el cierre de 2025. Considerando este escenario, se espera que</w:t>
      </w:r>
      <w:r>
        <w:rPr>
          <w:rFonts w:ascii="Calibri" w:eastAsia="Calibri" w:hAnsi="Calibri"/>
          <w:bCs/>
          <w:sz w:val="20"/>
          <w:szCs w:val="20"/>
          <w:lang w:val="es-MX"/>
        </w:rPr>
        <w:t xml:space="preserve"> </w:t>
      </w:r>
      <w:r w:rsidRPr="00E341B4">
        <w:rPr>
          <w:rFonts w:ascii="Calibri" w:eastAsia="Calibri" w:hAnsi="Calibri"/>
          <w:bCs/>
          <w:sz w:val="20"/>
          <w:szCs w:val="20"/>
          <w:lang w:val="es-MX"/>
        </w:rPr>
        <w:t>Banco de México seguirá recortando la tasa de interés. Ante los riesgos en la inflación y la posibilidad que la Reserva</w:t>
      </w:r>
      <w:r>
        <w:rPr>
          <w:rFonts w:ascii="Calibri" w:eastAsia="Calibri" w:hAnsi="Calibri"/>
          <w:bCs/>
          <w:sz w:val="20"/>
          <w:szCs w:val="20"/>
          <w:lang w:val="es-MX"/>
        </w:rPr>
        <w:t xml:space="preserve"> </w:t>
      </w:r>
      <w:r w:rsidRPr="00E341B4">
        <w:rPr>
          <w:rFonts w:ascii="Calibri" w:eastAsia="Calibri" w:hAnsi="Calibri"/>
          <w:bCs/>
          <w:sz w:val="20"/>
          <w:szCs w:val="20"/>
          <w:lang w:val="es-MX"/>
        </w:rPr>
        <w:t>Federal recorte solo en dos ocasiones su tasa de interés el siguiente año,</w:t>
      </w:r>
      <w:r>
        <w:rPr>
          <w:rFonts w:ascii="Calibri" w:eastAsia="Calibri" w:hAnsi="Calibri"/>
          <w:bCs/>
          <w:sz w:val="20"/>
          <w:szCs w:val="20"/>
          <w:lang w:val="es-MX"/>
        </w:rPr>
        <w:t xml:space="preserve"> </w:t>
      </w:r>
      <w:r w:rsidRPr="00E341B4">
        <w:rPr>
          <w:rFonts w:ascii="Calibri" w:eastAsia="Calibri" w:hAnsi="Calibri"/>
          <w:bCs/>
          <w:sz w:val="20"/>
          <w:szCs w:val="20"/>
          <w:lang w:val="es-MX"/>
        </w:rPr>
        <w:t>sería prudente que el Banco de México</w:t>
      </w:r>
      <w:r>
        <w:rPr>
          <w:rFonts w:ascii="Calibri" w:eastAsia="Calibri" w:hAnsi="Calibri"/>
          <w:bCs/>
          <w:sz w:val="20"/>
          <w:szCs w:val="20"/>
          <w:lang w:val="es-MX"/>
        </w:rPr>
        <w:t xml:space="preserve"> </w:t>
      </w:r>
      <w:r w:rsidRPr="00E341B4">
        <w:rPr>
          <w:rFonts w:ascii="Calibri" w:eastAsia="Calibri" w:hAnsi="Calibri"/>
          <w:bCs/>
          <w:sz w:val="20"/>
          <w:szCs w:val="20"/>
          <w:lang w:val="es-MX"/>
        </w:rPr>
        <w:t>hiciera una pausa en el ciclo de recortes, antes de seguir con el ciclo bajista. Para 2025, se estima que Banco de</w:t>
      </w:r>
      <w:r>
        <w:rPr>
          <w:rFonts w:ascii="Calibri" w:eastAsia="Calibri" w:hAnsi="Calibri"/>
          <w:bCs/>
          <w:sz w:val="20"/>
          <w:szCs w:val="20"/>
          <w:lang w:val="es-MX"/>
        </w:rPr>
        <w:t xml:space="preserve"> </w:t>
      </w:r>
      <w:r w:rsidRPr="00E341B4">
        <w:rPr>
          <w:rFonts w:ascii="Calibri" w:eastAsia="Calibri" w:hAnsi="Calibri"/>
          <w:bCs/>
          <w:sz w:val="20"/>
          <w:szCs w:val="20"/>
          <w:lang w:val="es-MX"/>
        </w:rPr>
        <w:t>México recortará su tasa de interés por un total de 150 puntos base, a 8.5%.</w:t>
      </w:r>
    </w:p>
    <w:p w14:paraId="0967AA50" w14:textId="77777777" w:rsidR="00E341B4" w:rsidRPr="00E341B4" w:rsidRDefault="00E341B4" w:rsidP="00E341B4">
      <w:pPr>
        <w:jc w:val="both"/>
        <w:rPr>
          <w:rFonts w:ascii="Calibri" w:eastAsia="Calibri" w:hAnsi="Calibri"/>
          <w:bCs/>
          <w:sz w:val="10"/>
          <w:szCs w:val="10"/>
          <w:lang w:val="es-MX"/>
        </w:rPr>
      </w:pPr>
    </w:p>
    <w:p w14:paraId="09E60C8F" w14:textId="3EE5370D" w:rsidR="001E6A78" w:rsidRPr="000F1C5C" w:rsidRDefault="001E6A78" w:rsidP="00B77F7D">
      <w:pPr>
        <w:jc w:val="both"/>
        <w:rPr>
          <w:rFonts w:ascii="Calibri" w:eastAsia="Calibri" w:hAnsi="Calibri"/>
          <w:bCs/>
          <w:sz w:val="20"/>
          <w:szCs w:val="20"/>
          <w:lang w:val="es-MX"/>
        </w:rPr>
      </w:pPr>
      <w:r>
        <w:rPr>
          <w:noProof/>
        </w:rPr>
        <w:drawing>
          <wp:inline distT="0" distB="0" distL="0" distR="0" wp14:anchorId="7A7DCE27" wp14:editId="08C32CF6">
            <wp:extent cx="5940000" cy="1800000"/>
            <wp:effectExtent l="0" t="0" r="3810" b="10160"/>
            <wp:docPr id="1853153172" name="Gráfico 1">
              <a:extLst xmlns:a="http://schemas.openxmlformats.org/drawingml/2006/main">
                <a:ext uri="{FF2B5EF4-FFF2-40B4-BE49-F238E27FC236}">
                  <a16:creationId xmlns:a16="http://schemas.microsoft.com/office/drawing/2014/main" id="{9E152313-B516-4E43-BCCC-E92847861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4D4115" w14:textId="77777777" w:rsidR="00B77F7D" w:rsidRPr="0045395E" w:rsidRDefault="00B77F7D" w:rsidP="00B77F7D">
      <w:pPr>
        <w:jc w:val="both"/>
        <w:rPr>
          <w:rFonts w:asciiTheme="majorHAnsi" w:hAnsiTheme="majorHAnsi" w:cstheme="majorHAnsi"/>
          <w:b/>
          <w:color w:val="FF0000"/>
          <w:sz w:val="10"/>
          <w:szCs w:val="10"/>
          <w:lang w:val="es-MX"/>
        </w:rPr>
      </w:pPr>
    </w:p>
    <w:p w14:paraId="0B38CD51" w14:textId="2ADA1ED5" w:rsidR="001657D5" w:rsidRPr="00D21593" w:rsidRDefault="001657D5" w:rsidP="00B77F7D">
      <w:pPr>
        <w:pStyle w:val="Prrafodelista"/>
        <w:numPr>
          <w:ilvl w:val="0"/>
          <w:numId w:val="15"/>
        </w:numPr>
        <w:jc w:val="both"/>
        <w:rPr>
          <w:rFonts w:ascii="Calibri" w:eastAsia="Calibri" w:hAnsi="Calibri"/>
          <w:b/>
          <w:lang w:val="es-MX"/>
        </w:rPr>
      </w:pPr>
      <w:r w:rsidRPr="00D21593">
        <w:rPr>
          <w:rFonts w:ascii="Calibri" w:eastAsia="Calibri" w:hAnsi="Calibri"/>
          <w:b/>
          <w:lang w:val="es-MX"/>
        </w:rPr>
        <w:t xml:space="preserve">Inflación de México a la 1ra quincena de </w:t>
      </w:r>
      <w:r w:rsidR="00D21593" w:rsidRPr="00D21593">
        <w:rPr>
          <w:rFonts w:ascii="Calibri" w:eastAsia="Calibri" w:hAnsi="Calibri"/>
          <w:b/>
          <w:lang w:val="es-MX"/>
        </w:rPr>
        <w:t>diciembre</w:t>
      </w:r>
      <w:r w:rsidRPr="00D21593">
        <w:rPr>
          <w:rFonts w:ascii="Calibri" w:eastAsia="Calibri" w:hAnsi="Calibri"/>
          <w:b/>
          <w:lang w:val="es-MX"/>
        </w:rPr>
        <w:t>, variación quincenal</w:t>
      </w:r>
    </w:p>
    <w:p w14:paraId="305A2C4D" w14:textId="4ACC36B4" w:rsidR="001657D5" w:rsidRPr="0045395E" w:rsidRDefault="001657D5" w:rsidP="001657D5">
      <w:pPr>
        <w:jc w:val="both"/>
        <w:rPr>
          <w:rFonts w:ascii="Calibri" w:eastAsia="Calibri" w:hAnsi="Calibri"/>
          <w:bCs/>
          <w:sz w:val="10"/>
          <w:szCs w:val="10"/>
          <w:lang w:val="es-MX"/>
        </w:rPr>
      </w:pPr>
    </w:p>
    <w:p w14:paraId="1984C6C5" w14:textId="5FEF527A" w:rsidR="00BA3378" w:rsidRDefault="00BA3378" w:rsidP="00BA3378">
      <w:pPr>
        <w:jc w:val="both"/>
        <w:rPr>
          <w:rFonts w:ascii="Calibri" w:eastAsia="Calibri" w:hAnsi="Calibri"/>
          <w:bCs/>
          <w:sz w:val="20"/>
          <w:szCs w:val="20"/>
          <w:lang w:val="es-MX"/>
        </w:rPr>
      </w:pPr>
      <w:r w:rsidRPr="0045395E">
        <w:rPr>
          <w:rFonts w:ascii="Calibri" w:eastAsia="Calibri" w:hAnsi="Calibri"/>
          <w:bCs/>
          <w:sz w:val="20"/>
          <w:szCs w:val="20"/>
          <w:lang w:val="es-MX"/>
        </w:rPr>
        <w:t xml:space="preserve">En la primera quincena de </w:t>
      </w:r>
      <w:r w:rsidR="00E74293">
        <w:rPr>
          <w:rFonts w:ascii="Calibri" w:eastAsia="Calibri" w:hAnsi="Calibri"/>
          <w:bCs/>
          <w:sz w:val="20"/>
          <w:szCs w:val="20"/>
          <w:lang w:val="es-MX"/>
        </w:rPr>
        <w:t>diciembre</w:t>
      </w:r>
      <w:r w:rsidRPr="0045395E">
        <w:rPr>
          <w:rFonts w:ascii="Calibri" w:eastAsia="Calibri" w:hAnsi="Calibri"/>
          <w:bCs/>
          <w:sz w:val="20"/>
          <w:szCs w:val="20"/>
          <w:lang w:val="es-MX"/>
        </w:rPr>
        <w:t xml:space="preserve">, la </w:t>
      </w:r>
      <w:r w:rsidRPr="0045395E">
        <w:rPr>
          <w:rFonts w:ascii="Calibri" w:eastAsia="Calibri" w:hAnsi="Calibri"/>
          <w:b/>
          <w:sz w:val="20"/>
          <w:szCs w:val="20"/>
          <w:lang w:val="es-MX"/>
        </w:rPr>
        <w:t>inflación de México</w:t>
      </w:r>
      <w:r w:rsidRPr="0045395E">
        <w:rPr>
          <w:rFonts w:ascii="Calibri" w:eastAsia="Calibri" w:hAnsi="Calibri"/>
          <w:bCs/>
          <w:sz w:val="20"/>
          <w:szCs w:val="20"/>
          <w:lang w:val="es-MX"/>
        </w:rPr>
        <w:t xml:space="preserve"> se ubicó en 0</w:t>
      </w:r>
      <w:r w:rsidR="00D21593" w:rsidRPr="0045395E">
        <w:rPr>
          <w:rFonts w:ascii="Calibri" w:eastAsia="Calibri" w:hAnsi="Calibri"/>
          <w:bCs/>
          <w:sz w:val="20"/>
          <w:szCs w:val="20"/>
          <w:lang w:val="es-MX"/>
        </w:rPr>
        <w:t>.42</w:t>
      </w:r>
      <w:r w:rsidRPr="0045395E">
        <w:rPr>
          <w:rFonts w:ascii="Calibri" w:eastAsia="Calibri" w:hAnsi="Calibri"/>
          <w:bCs/>
          <w:sz w:val="20"/>
          <w:szCs w:val="20"/>
          <w:lang w:val="es-MX"/>
        </w:rPr>
        <w:t>% quincenal, sorprendiendo al mercado que anticipaba 0.</w:t>
      </w:r>
      <w:r w:rsidR="00D21593" w:rsidRPr="0045395E">
        <w:rPr>
          <w:rFonts w:ascii="Calibri" w:eastAsia="Calibri" w:hAnsi="Calibri"/>
          <w:bCs/>
          <w:sz w:val="20"/>
          <w:szCs w:val="20"/>
          <w:lang w:val="es-MX"/>
        </w:rPr>
        <w:t>38</w:t>
      </w:r>
      <w:r w:rsidRPr="0045395E">
        <w:rPr>
          <w:rFonts w:ascii="Calibri" w:eastAsia="Calibri" w:hAnsi="Calibri"/>
          <w:bCs/>
          <w:sz w:val="20"/>
          <w:szCs w:val="20"/>
          <w:lang w:val="es-MX"/>
        </w:rPr>
        <w:t xml:space="preserve">% (Figura 2 y Tabla 1), la menor inflación para una quincena igual desde el </w:t>
      </w:r>
      <w:r w:rsidR="00D21593" w:rsidRPr="0045395E">
        <w:rPr>
          <w:rFonts w:ascii="Calibri" w:eastAsia="Calibri" w:hAnsi="Calibri"/>
          <w:bCs/>
          <w:sz w:val="20"/>
          <w:szCs w:val="20"/>
          <w:lang w:val="es-MX"/>
        </w:rPr>
        <w:t>2022</w:t>
      </w:r>
      <w:r w:rsidRPr="0045395E">
        <w:rPr>
          <w:rFonts w:ascii="Calibri" w:eastAsia="Calibri" w:hAnsi="Calibri"/>
          <w:bCs/>
          <w:sz w:val="20"/>
          <w:szCs w:val="20"/>
          <w:lang w:val="es-MX"/>
        </w:rPr>
        <w:t xml:space="preserve"> (0.</w:t>
      </w:r>
      <w:r w:rsidR="00D21593" w:rsidRPr="0045395E">
        <w:rPr>
          <w:rFonts w:ascii="Calibri" w:eastAsia="Calibri" w:hAnsi="Calibri"/>
          <w:bCs/>
          <w:sz w:val="20"/>
          <w:szCs w:val="20"/>
          <w:lang w:val="es-MX"/>
        </w:rPr>
        <w:t>39</w:t>
      </w:r>
      <w:r w:rsidRPr="0045395E">
        <w:rPr>
          <w:rFonts w:ascii="Calibri" w:eastAsia="Calibri" w:hAnsi="Calibri"/>
          <w:bCs/>
          <w:sz w:val="20"/>
          <w:szCs w:val="20"/>
          <w:lang w:val="es-MX"/>
        </w:rPr>
        <w:t>%).</w:t>
      </w:r>
    </w:p>
    <w:p w14:paraId="2FF78899" w14:textId="77777777" w:rsidR="001A6619" w:rsidRPr="0045395E" w:rsidRDefault="001A6619" w:rsidP="00BA3378">
      <w:pPr>
        <w:jc w:val="both"/>
        <w:rPr>
          <w:rFonts w:ascii="Calibri" w:eastAsia="Calibri" w:hAnsi="Calibri"/>
          <w:bCs/>
          <w:sz w:val="10"/>
          <w:szCs w:val="10"/>
          <w:lang w:val="es-MX"/>
        </w:rPr>
      </w:pPr>
    </w:p>
    <w:p w14:paraId="2728D6C1" w14:textId="1D87602A" w:rsidR="001A6619" w:rsidRDefault="001A6619" w:rsidP="00BA3378">
      <w:pPr>
        <w:jc w:val="both"/>
        <w:rPr>
          <w:rFonts w:ascii="Calibri" w:eastAsia="Calibri" w:hAnsi="Calibri"/>
          <w:bCs/>
          <w:sz w:val="20"/>
          <w:szCs w:val="20"/>
          <w:lang w:val="es-MX"/>
        </w:rPr>
      </w:pPr>
      <w:r w:rsidRPr="001A6619">
        <w:rPr>
          <w:rFonts w:ascii="Calibri" w:eastAsia="Calibri" w:hAnsi="Calibri"/>
          <w:bCs/>
          <w:sz w:val="20"/>
          <w:szCs w:val="20"/>
          <w:lang w:val="es-MX"/>
        </w:rPr>
        <w:t xml:space="preserve">Sin embargo, el </w:t>
      </w:r>
      <w:r w:rsidRPr="0045395E">
        <w:rPr>
          <w:rFonts w:ascii="Calibri" w:eastAsia="Calibri" w:hAnsi="Calibri"/>
          <w:b/>
          <w:sz w:val="20"/>
          <w:szCs w:val="20"/>
          <w:lang w:val="es-MX"/>
        </w:rPr>
        <w:t>componente subyacente</w:t>
      </w:r>
      <w:r w:rsidRPr="0045395E">
        <w:rPr>
          <w:rFonts w:ascii="Calibri" w:eastAsia="Calibri" w:hAnsi="Calibri"/>
          <w:bCs/>
          <w:sz w:val="20"/>
          <w:szCs w:val="20"/>
          <w:lang w:val="es-MX"/>
        </w:rPr>
        <w:t xml:space="preserve"> registró una inflación quincenal de 0.50%</w:t>
      </w:r>
      <w:r w:rsidRPr="0045395E">
        <w:rPr>
          <w:rFonts w:ascii="Calibri" w:eastAsia="Calibri" w:hAnsi="Calibri"/>
          <w:bCs/>
          <w:sz w:val="20"/>
          <w:szCs w:val="20"/>
          <w:lang w:val="es-MX"/>
        </w:rPr>
        <w:t xml:space="preserve"> (Figura 3 y Tabla 1)</w:t>
      </w:r>
      <w:r w:rsidRPr="0045395E">
        <w:rPr>
          <w:rFonts w:ascii="Calibri" w:eastAsia="Calibri" w:hAnsi="Calibri"/>
          <w:bCs/>
          <w:sz w:val="20"/>
          <w:szCs w:val="20"/>
          <w:lang w:val="es-MX"/>
        </w:rPr>
        <w:t>, la mayor para una quincena igual desde el 2022</w:t>
      </w:r>
      <w:r w:rsidRPr="0045395E">
        <w:rPr>
          <w:rFonts w:ascii="Calibri" w:eastAsia="Calibri" w:hAnsi="Calibri"/>
          <w:bCs/>
          <w:sz w:val="20"/>
          <w:szCs w:val="20"/>
          <w:lang w:val="es-MX"/>
        </w:rPr>
        <w:t xml:space="preserve"> (0.57%)</w:t>
      </w:r>
      <w:r w:rsidRPr="0045395E">
        <w:rPr>
          <w:rFonts w:ascii="Calibri" w:eastAsia="Calibri" w:hAnsi="Calibri"/>
          <w:bCs/>
          <w:sz w:val="20"/>
          <w:szCs w:val="20"/>
          <w:lang w:val="es-MX"/>
        </w:rPr>
        <w:t xml:space="preserve">. Destaca </w:t>
      </w:r>
      <w:r w:rsidRPr="0045395E">
        <w:rPr>
          <w:rFonts w:ascii="Calibri" w:eastAsia="Calibri" w:hAnsi="Calibri"/>
          <w:bCs/>
          <w:sz w:val="20"/>
          <w:szCs w:val="20"/>
          <w:lang w:val="es-MX"/>
        </w:rPr>
        <w:t>que,</w:t>
      </w:r>
      <w:r w:rsidRPr="0045395E">
        <w:rPr>
          <w:rFonts w:ascii="Calibri" w:eastAsia="Calibri" w:hAnsi="Calibri"/>
          <w:bCs/>
          <w:sz w:val="20"/>
          <w:szCs w:val="20"/>
          <w:lang w:val="es-MX"/>
        </w:rPr>
        <w:t xml:space="preserve"> dentro de este componente, las </w:t>
      </w:r>
      <w:r w:rsidRPr="0045395E">
        <w:rPr>
          <w:rFonts w:ascii="Calibri" w:eastAsia="Calibri" w:hAnsi="Calibri"/>
          <w:b/>
          <w:sz w:val="20"/>
          <w:szCs w:val="20"/>
          <w:lang w:val="es-MX"/>
        </w:rPr>
        <w:t>mercancías</w:t>
      </w:r>
      <w:r w:rsidRPr="0045395E">
        <w:rPr>
          <w:rFonts w:ascii="Calibri" w:eastAsia="Calibri" w:hAnsi="Calibri"/>
          <w:bCs/>
          <w:sz w:val="20"/>
          <w:szCs w:val="20"/>
          <w:lang w:val="es-MX"/>
        </w:rPr>
        <w:t xml:space="preserve"> (tanto las mercancías </w:t>
      </w:r>
      <w:r w:rsidRPr="0045395E">
        <w:rPr>
          <w:rFonts w:ascii="Calibri" w:eastAsia="Calibri" w:hAnsi="Calibri"/>
          <w:b/>
          <w:sz w:val="20"/>
          <w:szCs w:val="20"/>
          <w:lang w:val="es-MX"/>
        </w:rPr>
        <w:t>alimenticias</w:t>
      </w:r>
      <w:r w:rsidRPr="0045395E">
        <w:rPr>
          <w:rFonts w:ascii="Calibri" w:eastAsia="Calibri" w:hAnsi="Calibri"/>
          <w:bCs/>
          <w:sz w:val="20"/>
          <w:szCs w:val="20"/>
          <w:lang w:val="es-MX"/>
        </w:rPr>
        <w:t xml:space="preserve"> como las </w:t>
      </w:r>
      <w:r w:rsidRPr="0045395E">
        <w:rPr>
          <w:rFonts w:ascii="Calibri" w:eastAsia="Calibri" w:hAnsi="Calibri"/>
          <w:b/>
          <w:sz w:val="20"/>
          <w:szCs w:val="20"/>
          <w:lang w:val="es-MX"/>
        </w:rPr>
        <w:t>no alimenticias</w:t>
      </w:r>
      <w:r w:rsidRPr="0045395E">
        <w:rPr>
          <w:rFonts w:ascii="Calibri" w:eastAsia="Calibri" w:hAnsi="Calibri"/>
          <w:bCs/>
          <w:sz w:val="20"/>
          <w:szCs w:val="20"/>
          <w:lang w:val="es-MX"/>
        </w:rPr>
        <w:t>), mostraron las mayores tasas quincenales desde el 2022</w:t>
      </w:r>
      <w:r w:rsidRPr="0045395E">
        <w:rPr>
          <w:rFonts w:ascii="Calibri" w:eastAsia="Calibri" w:hAnsi="Calibri"/>
          <w:bCs/>
          <w:sz w:val="20"/>
          <w:szCs w:val="20"/>
          <w:lang w:val="es-MX"/>
        </w:rPr>
        <w:t xml:space="preserve"> (Tabla 1)</w:t>
      </w:r>
      <w:r w:rsidRPr="0045395E">
        <w:rPr>
          <w:rFonts w:ascii="Calibri" w:eastAsia="Calibri" w:hAnsi="Calibri"/>
          <w:bCs/>
          <w:sz w:val="20"/>
          <w:szCs w:val="20"/>
          <w:lang w:val="es-MX"/>
        </w:rPr>
        <w:t xml:space="preserve">.  Esto muy probablemente se </w:t>
      </w:r>
      <w:r w:rsidRPr="0045395E">
        <w:rPr>
          <w:rFonts w:ascii="Calibri" w:eastAsia="Calibri" w:hAnsi="Calibri"/>
          <w:bCs/>
          <w:sz w:val="20"/>
          <w:szCs w:val="20"/>
          <w:lang w:val="es-MX"/>
        </w:rPr>
        <w:t>debió a</w:t>
      </w:r>
      <w:r w:rsidRPr="0045395E">
        <w:rPr>
          <w:rFonts w:ascii="Calibri" w:eastAsia="Calibri" w:hAnsi="Calibri"/>
          <w:bCs/>
          <w:sz w:val="20"/>
          <w:szCs w:val="20"/>
          <w:lang w:val="es-MX"/>
        </w:rPr>
        <w:t xml:space="preserve"> la depreciación del peso mexicano.</w:t>
      </w:r>
    </w:p>
    <w:p w14:paraId="75A334A2" w14:textId="77777777" w:rsidR="0045395E" w:rsidRPr="0045395E" w:rsidRDefault="0045395E" w:rsidP="00BA3378">
      <w:pPr>
        <w:jc w:val="both"/>
        <w:rPr>
          <w:rFonts w:ascii="Calibri" w:eastAsia="Calibri" w:hAnsi="Calibri"/>
          <w:bCs/>
          <w:sz w:val="10"/>
          <w:szCs w:val="10"/>
          <w:lang w:val="es-MX"/>
        </w:rPr>
      </w:pPr>
    </w:p>
    <w:p w14:paraId="1CFDAD7F" w14:textId="1268BD5E" w:rsidR="001A6619" w:rsidRPr="0045395E" w:rsidRDefault="001A6619" w:rsidP="00BA3378">
      <w:pPr>
        <w:jc w:val="both"/>
        <w:rPr>
          <w:rFonts w:ascii="Calibri" w:eastAsia="Calibri" w:hAnsi="Calibri"/>
          <w:bCs/>
          <w:sz w:val="20"/>
          <w:szCs w:val="20"/>
          <w:lang w:val="es-MX"/>
        </w:rPr>
      </w:pPr>
      <w:r w:rsidRPr="0045395E">
        <w:rPr>
          <w:rFonts w:ascii="Calibri" w:eastAsia="Calibri" w:hAnsi="Calibri"/>
          <w:bCs/>
          <w:sz w:val="20"/>
          <w:szCs w:val="20"/>
          <w:lang w:val="es-MX"/>
        </w:rPr>
        <w:t xml:space="preserve">Por el contrario, los </w:t>
      </w:r>
      <w:r w:rsidRPr="0045395E">
        <w:rPr>
          <w:rFonts w:ascii="Calibri" w:eastAsia="Calibri" w:hAnsi="Calibri"/>
          <w:b/>
          <w:sz w:val="20"/>
          <w:szCs w:val="20"/>
          <w:lang w:val="es-MX"/>
        </w:rPr>
        <w:t>servicios</w:t>
      </w:r>
      <w:r w:rsidRPr="0045395E">
        <w:rPr>
          <w:rFonts w:ascii="Calibri" w:eastAsia="Calibri" w:hAnsi="Calibri"/>
          <w:bCs/>
          <w:sz w:val="20"/>
          <w:szCs w:val="20"/>
          <w:lang w:val="es-MX"/>
        </w:rPr>
        <w:t xml:space="preserve"> registraron una inflación quincenal de 0.56%</w:t>
      </w:r>
      <w:r w:rsidRPr="0045395E">
        <w:rPr>
          <w:rFonts w:ascii="Calibri" w:eastAsia="Calibri" w:hAnsi="Calibri"/>
          <w:bCs/>
          <w:sz w:val="20"/>
          <w:szCs w:val="20"/>
          <w:lang w:val="es-MX"/>
        </w:rPr>
        <w:t xml:space="preserve"> (Tabla 1)</w:t>
      </w:r>
      <w:r w:rsidRPr="0045395E">
        <w:rPr>
          <w:rFonts w:ascii="Calibri" w:eastAsia="Calibri" w:hAnsi="Calibri"/>
          <w:bCs/>
          <w:sz w:val="20"/>
          <w:szCs w:val="20"/>
          <w:lang w:val="es-MX"/>
        </w:rPr>
        <w:t>, la menor para una quincena igual desde el 2022</w:t>
      </w:r>
      <w:r w:rsidRPr="0045395E">
        <w:rPr>
          <w:rFonts w:ascii="Calibri" w:eastAsia="Calibri" w:hAnsi="Calibri"/>
          <w:bCs/>
          <w:sz w:val="20"/>
          <w:szCs w:val="20"/>
          <w:lang w:val="es-MX"/>
        </w:rPr>
        <w:t xml:space="preserve"> (0.51%)</w:t>
      </w:r>
      <w:r w:rsidRPr="0045395E">
        <w:rPr>
          <w:rFonts w:ascii="Calibri" w:eastAsia="Calibri" w:hAnsi="Calibri"/>
          <w:bCs/>
          <w:sz w:val="20"/>
          <w:szCs w:val="20"/>
          <w:lang w:val="es-MX"/>
        </w:rPr>
        <w:t xml:space="preserve">. Destaca que los servicios de </w:t>
      </w:r>
      <w:r w:rsidRPr="0045395E">
        <w:rPr>
          <w:rFonts w:ascii="Calibri" w:eastAsia="Calibri" w:hAnsi="Calibri"/>
          <w:b/>
          <w:sz w:val="20"/>
          <w:szCs w:val="20"/>
          <w:lang w:val="es-MX"/>
        </w:rPr>
        <w:t>vivienda</w:t>
      </w:r>
      <w:r w:rsidRPr="0045395E">
        <w:rPr>
          <w:rFonts w:ascii="Calibri" w:eastAsia="Calibri" w:hAnsi="Calibri"/>
          <w:bCs/>
          <w:sz w:val="20"/>
          <w:szCs w:val="20"/>
          <w:lang w:val="es-MX"/>
        </w:rPr>
        <w:t>,</w:t>
      </w:r>
      <w:r w:rsidRPr="0045395E">
        <w:rPr>
          <w:rFonts w:ascii="Calibri" w:eastAsia="Calibri" w:hAnsi="Calibri"/>
          <w:bCs/>
          <w:sz w:val="20"/>
          <w:szCs w:val="20"/>
          <w:lang w:val="es-MX"/>
        </w:rPr>
        <w:t xml:space="preserve"> así como </w:t>
      </w:r>
      <w:r w:rsidRPr="0045395E">
        <w:rPr>
          <w:rFonts w:ascii="Calibri" w:eastAsia="Calibri" w:hAnsi="Calibri"/>
          <w:b/>
          <w:sz w:val="20"/>
          <w:szCs w:val="20"/>
          <w:lang w:val="es-MX"/>
        </w:rPr>
        <w:t>otros servicios</w:t>
      </w:r>
      <w:r w:rsidRPr="0045395E">
        <w:rPr>
          <w:rFonts w:ascii="Calibri" w:eastAsia="Calibri" w:hAnsi="Calibri"/>
          <w:bCs/>
          <w:sz w:val="20"/>
          <w:szCs w:val="20"/>
          <w:lang w:val="es-MX"/>
        </w:rPr>
        <w:t xml:space="preserve">, mostraron las menores </w:t>
      </w:r>
      <w:r w:rsidRPr="0045395E">
        <w:rPr>
          <w:rFonts w:ascii="Calibri" w:eastAsia="Calibri" w:hAnsi="Calibri"/>
          <w:bCs/>
          <w:sz w:val="20"/>
          <w:szCs w:val="20"/>
          <w:lang w:val="es-MX"/>
        </w:rPr>
        <w:lastRenderedPageBreak/>
        <w:t>tasas desde el 2023 y el 2022, respectivamente.</w:t>
      </w:r>
      <w:r w:rsidRPr="0045395E">
        <w:rPr>
          <w:rFonts w:ascii="Calibri" w:eastAsia="Calibri" w:hAnsi="Calibri"/>
          <w:bCs/>
          <w:sz w:val="20"/>
          <w:szCs w:val="20"/>
          <w:lang w:val="es-MX"/>
        </w:rPr>
        <w:t xml:space="preserve"> Lo anterior es positivo pues, cabe recordar que los servicios fueron los que mostraron mayor resistencia a bajar durante el año. </w:t>
      </w:r>
    </w:p>
    <w:p w14:paraId="395E4B95" w14:textId="77777777" w:rsidR="00444BED" w:rsidRPr="0045395E" w:rsidRDefault="00444BED" w:rsidP="00BA3378">
      <w:pPr>
        <w:jc w:val="both"/>
        <w:rPr>
          <w:rFonts w:ascii="Calibri" w:eastAsia="Calibri" w:hAnsi="Calibri"/>
          <w:bCs/>
          <w:sz w:val="20"/>
          <w:szCs w:val="20"/>
          <w:lang w:val="es-MX"/>
        </w:rPr>
      </w:pPr>
    </w:p>
    <w:p w14:paraId="6A331E8B" w14:textId="321F0BB7" w:rsidR="00BC30B3" w:rsidRDefault="0045395E" w:rsidP="00832695">
      <w:pPr>
        <w:jc w:val="both"/>
        <w:rPr>
          <w:rFonts w:ascii="Calibri" w:eastAsia="Calibri" w:hAnsi="Calibri"/>
          <w:bCs/>
          <w:sz w:val="20"/>
          <w:szCs w:val="20"/>
          <w:lang w:val="es-MX"/>
        </w:rPr>
      </w:pPr>
      <w:r>
        <w:rPr>
          <w:noProof/>
        </w:rPr>
        <w:drawing>
          <wp:anchor distT="0" distB="0" distL="114300" distR="114300" simplePos="0" relativeHeight="251659264" behindDoc="0" locked="0" layoutInCell="1" allowOverlap="1" wp14:anchorId="73BA7442" wp14:editId="126C8EDC">
            <wp:simplePos x="0" y="0"/>
            <wp:positionH relativeFrom="column">
              <wp:posOffset>1846580</wp:posOffset>
            </wp:positionH>
            <wp:positionV relativeFrom="paragraph">
              <wp:posOffset>824557</wp:posOffset>
            </wp:positionV>
            <wp:extent cx="2159635" cy="2159635"/>
            <wp:effectExtent l="0" t="0" r="0" b="12065"/>
            <wp:wrapSquare wrapText="bothSides"/>
            <wp:docPr id="116603413" name="Gráfico 1">
              <a:extLst xmlns:a="http://schemas.openxmlformats.org/drawingml/2006/main">
                <a:ext uri="{FF2B5EF4-FFF2-40B4-BE49-F238E27FC236}">
                  <a16:creationId xmlns:a16="http://schemas.microsoft.com/office/drawing/2014/main" id="{C948A7C4-AE6F-4B49-B30C-0B2FD971F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EB00C98" wp14:editId="2F39C476">
            <wp:simplePos x="0" y="0"/>
            <wp:positionH relativeFrom="column">
              <wp:posOffset>-309880</wp:posOffset>
            </wp:positionH>
            <wp:positionV relativeFrom="paragraph">
              <wp:posOffset>828675</wp:posOffset>
            </wp:positionV>
            <wp:extent cx="2159635" cy="2159635"/>
            <wp:effectExtent l="0" t="0" r="0" b="12065"/>
            <wp:wrapSquare wrapText="bothSides"/>
            <wp:docPr id="1479888668" name="Gráfico 1">
              <a:extLst xmlns:a="http://schemas.openxmlformats.org/drawingml/2006/main">
                <a:ext uri="{FF2B5EF4-FFF2-40B4-BE49-F238E27FC236}">
                  <a16:creationId xmlns:a16="http://schemas.microsoft.com/office/drawing/2014/main" id="{CDDA85C9-6856-4F0A-A812-91D7DD10EA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37346CE1" wp14:editId="2CFFB73C">
            <wp:simplePos x="0" y="0"/>
            <wp:positionH relativeFrom="column">
              <wp:posOffset>4003594</wp:posOffset>
            </wp:positionH>
            <wp:positionV relativeFrom="paragraph">
              <wp:posOffset>833120</wp:posOffset>
            </wp:positionV>
            <wp:extent cx="2159635" cy="2159635"/>
            <wp:effectExtent l="0" t="0" r="0" b="12065"/>
            <wp:wrapSquare wrapText="bothSides"/>
            <wp:docPr id="1687369834" name="Gráfico 1">
              <a:extLst xmlns:a="http://schemas.openxmlformats.org/drawingml/2006/main">
                <a:ext uri="{FF2B5EF4-FFF2-40B4-BE49-F238E27FC236}">
                  <a16:creationId xmlns:a16="http://schemas.microsoft.com/office/drawing/2014/main" id="{4A146D40-A6ED-441D-A1DB-6563E7349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44BED" w:rsidRPr="0045395E">
        <w:rPr>
          <w:rFonts w:ascii="Calibri" w:eastAsia="Calibri" w:hAnsi="Calibri"/>
          <w:bCs/>
          <w:sz w:val="20"/>
          <w:szCs w:val="20"/>
          <w:lang w:val="es-MX"/>
        </w:rPr>
        <w:t xml:space="preserve">Por otra parte, el </w:t>
      </w:r>
      <w:r w:rsidR="00444BED" w:rsidRPr="0045395E">
        <w:rPr>
          <w:rFonts w:ascii="Calibri" w:eastAsia="Calibri" w:hAnsi="Calibri"/>
          <w:b/>
          <w:sz w:val="20"/>
          <w:szCs w:val="20"/>
          <w:lang w:val="es-MX"/>
        </w:rPr>
        <w:t>componente no subyacente</w:t>
      </w:r>
      <w:r w:rsidR="00444BED" w:rsidRPr="0045395E">
        <w:rPr>
          <w:rFonts w:ascii="Calibri" w:eastAsia="Calibri" w:hAnsi="Calibri"/>
          <w:bCs/>
          <w:sz w:val="20"/>
          <w:szCs w:val="20"/>
          <w:lang w:val="es-MX"/>
        </w:rPr>
        <w:t>, caracterizado por su alta volatilidad, registró una inflación quincenal de 0.16%</w:t>
      </w:r>
      <w:r w:rsidR="00444BED" w:rsidRPr="0045395E">
        <w:rPr>
          <w:rFonts w:ascii="Calibri" w:eastAsia="Calibri" w:hAnsi="Calibri"/>
          <w:bCs/>
          <w:sz w:val="20"/>
          <w:szCs w:val="20"/>
          <w:lang w:val="es-MX"/>
        </w:rPr>
        <w:t xml:space="preserve"> (Figura </w:t>
      </w:r>
      <w:r w:rsidR="00731722" w:rsidRPr="0045395E">
        <w:rPr>
          <w:rFonts w:ascii="Calibri" w:eastAsia="Calibri" w:hAnsi="Calibri"/>
          <w:bCs/>
          <w:sz w:val="20"/>
          <w:szCs w:val="20"/>
          <w:lang w:val="es-MX"/>
        </w:rPr>
        <w:t>4</w:t>
      </w:r>
      <w:r w:rsidR="00444BED" w:rsidRPr="0045395E">
        <w:rPr>
          <w:rFonts w:ascii="Calibri" w:eastAsia="Calibri" w:hAnsi="Calibri"/>
          <w:bCs/>
          <w:sz w:val="20"/>
          <w:szCs w:val="20"/>
          <w:lang w:val="es-MX"/>
        </w:rPr>
        <w:t xml:space="preserve"> y Tabla 1)</w:t>
      </w:r>
      <w:r w:rsidR="00444BED" w:rsidRPr="0045395E">
        <w:rPr>
          <w:rFonts w:ascii="Calibri" w:eastAsia="Calibri" w:hAnsi="Calibri"/>
          <w:bCs/>
          <w:sz w:val="20"/>
          <w:szCs w:val="20"/>
          <w:lang w:val="es-MX"/>
        </w:rPr>
        <w:t>, la menor para una quincena igual desde la caída registrada en 2022</w:t>
      </w:r>
      <w:r w:rsidR="00444BED" w:rsidRPr="0045395E">
        <w:rPr>
          <w:rFonts w:ascii="Calibri" w:eastAsia="Calibri" w:hAnsi="Calibri"/>
          <w:bCs/>
          <w:sz w:val="20"/>
          <w:szCs w:val="20"/>
          <w:lang w:val="es-MX"/>
        </w:rPr>
        <w:t xml:space="preserve"> (-0.14%)</w:t>
      </w:r>
      <w:r w:rsidR="00444BED" w:rsidRPr="0045395E">
        <w:rPr>
          <w:rFonts w:ascii="Calibri" w:eastAsia="Calibri" w:hAnsi="Calibri"/>
          <w:bCs/>
          <w:sz w:val="20"/>
          <w:szCs w:val="20"/>
          <w:lang w:val="es-MX"/>
        </w:rPr>
        <w:t xml:space="preserve">. Al interior, los productos </w:t>
      </w:r>
      <w:r w:rsidR="00444BED" w:rsidRPr="0045395E">
        <w:rPr>
          <w:rFonts w:ascii="Calibri" w:eastAsia="Calibri" w:hAnsi="Calibri"/>
          <w:b/>
          <w:sz w:val="20"/>
          <w:szCs w:val="20"/>
          <w:lang w:val="es-MX"/>
        </w:rPr>
        <w:t>agropecuarios</w:t>
      </w:r>
      <w:r w:rsidR="00444BED" w:rsidRPr="0045395E">
        <w:rPr>
          <w:rFonts w:ascii="Calibri" w:eastAsia="Calibri" w:hAnsi="Calibri"/>
          <w:bCs/>
          <w:sz w:val="20"/>
          <w:szCs w:val="20"/>
          <w:lang w:val="es-MX"/>
        </w:rPr>
        <w:t xml:space="preserve"> mostraron la menor inflación para una quincena igual desde la caída del 2021, mientras que los energéticos y tarifas autorizadas por el gobierno la menor inflación para una quincena igual desde el año pasado</w:t>
      </w:r>
      <w:r w:rsidR="00444BED" w:rsidRPr="0045395E">
        <w:rPr>
          <w:rFonts w:ascii="Calibri" w:eastAsia="Calibri" w:hAnsi="Calibri"/>
          <w:bCs/>
          <w:sz w:val="20"/>
          <w:szCs w:val="20"/>
          <w:lang w:val="es-MX"/>
        </w:rPr>
        <w:t xml:space="preserve"> (Tabla 1)</w:t>
      </w:r>
      <w:r w:rsidR="00444BED" w:rsidRPr="0045395E">
        <w:rPr>
          <w:rFonts w:ascii="Calibri" w:eastAsia="Calibri" w:hAnsi="Calibri"/>
          <w:bCs/>
          <w:sz w:val="20"/>
          <w:szCs w:val="20"/>
          <w:lang w:val="es-MX"/>
        </w:rPr>
        <w:t>.</w:t>
      </w:r>
      <w:r w:rsidR="00444BED" w:rsidRPr="00444BED">
        <w:rPr>
          <w:rFonts w:ascii="Calibri" w:eastAsia="Calibri" w:hAnsi="Calibri"/>
          <w:bCs/>
          <w:sz w:val="20"/>
          <w:szCs w:val="20"/>
          <w:lang w:val="es-MX"/>
        </w:rPr>
        <w:t xml:space="preserve">  </w:t>
      </w:r>
    </w:p>
    <w:p w14:paraId="115BC831" w14:textId="45A5DD01" w:rsidR="00B16579" w:rsidRPr="00832695" w:rsidRDefault="00B16579" w:rsidP="0045395E">
      <w:pPr>
        <w:rPr>
          <w:rFonts w:ascii="Calibri" w:eastAsia="Calibri" w:hAnsi="Calibri"/>
          <w:bCs/>
          <w:sz w:val="20"/>
          <w:szCs w:val="20"/>
          <w:lang w:val="es-MX"/>
        </w:rPr>
      </w:pPr>
    </w:p>
    <w:p w14:paraId="15EE73B4" w14:textId="7DDE6BE9" w:rsidR="00BC30B3" w:rsidRPr="00FC6D04" w:rsidRDefault="00BC30B3" w:rsidP="00BC30B3">
      <w:pPr>
        <w:jc w:val="both"/>
        <w:rPr>
          <w:rFonts w:asciiTheme="majorHAnsi" w:hAnsiTheme="majorHAnsi" w:cstheme="majorHAnsi"/>
          <w:sz w:val="20"/>
          <w:szCs w:val="22"/>
        </w:rPr>
      </w:pPr>
      <w:r w:rsidRPr="00FC6D04">
        <w:rPr>
          <w:rFonts w:asciiTheme="majorHAnsi" w:hAnsiTheme="majorHAnsi" w:cstheme="majorHAnsi"/>
          <w:b/>
          <w:sz w:val="20"/>
          <w:szCs w:val="22"/>
        </w:rPr>
        <w:t xml:space="preserve">Tabla 1. </w:t>
      </w:r>
      <w:r w:rsidRPr="00FC6D04">
        <w:rPr>
          <w:rFonts w:asciiTheme="majorHAnsi" w:hAnsiTheme="majorHAnsi" w:cstheme="majorHAnsi"/>
          <w:sz w:val="20"/>
          <w:szCs w:val="22"/>
        </w:rPr>
        <w:t>Inflación quincenal y anual.</w:t>
      </w:r>
    </w:p>
    <w:tbl>
      <w:tblPr>
        <w:tblW w:w="5000" w:type="pct"/>
        <w:tblCellMar>
          <w:left w:w="0" w:type="dxa"/>
          <w:right w:w="0" w:type="dxa"/>
        </w:tblCellMar>
        <w:tblLook w:val="04A0" w:firstRow="1" w:lastRow="0" w:firstColumn="1" w:lastColumn="0" w:noHBand="0" w:noVBand="1"/>
      </w:tblPr>
      <w:tblGrid>
        <w:gridCol w:w="2629"/>
        <w:gridCol w:w="1322"/>
        <w:gridCol w:w="1324"/>
        <w:gridCol w:w="1324"/>
        <w:gridCol w:w="1316"/>
        <w:gridCol w:w="1316"/>
      </w:tblGrid>
      <w:tr w:rsidR="00600311" w:rsidRPr="0043264C" w14:paraId="3DDEFDC5" w14:textId="01B36D1F" w:rsidTr="00600311">
        <w:trPr>
          <w:trHeight w:val="20"/>
        </w:trPr>
        <w:tc>
          <w:tcPr>
            <w:tcW w:w="1424" w:type="pct"/>
            <w:tcBorders>
              <w:top w:val="single" w:sz="4" w:space="0" w:color="auto"/>
              <w:left w:val="single" w:sz="4" w:space="0" w:color="auto"/>
              <w:bottom w:val="single" w:sz="4" w:space="0" w:color="auto"/>
              <w:right w:val="single" w:sz="4" w:space="0" w:color="auto"/>
            </w:tcBorders>
            <w:shd w:val="clear" w:color="auto" w:fill="FFDB69"/>
            <w:noWrap/>
            <w:tcMar>
              <w:top w:w="15" w:type="dxa"/>
              <w:left w:w="15" w:type="dxa"/>
              <w:bottom w:w="0" w:type="dxa"/>
              <w:right w:w="15" w:type="dxa"/>
            </w:tcMar>
            <w:vAlign w:val="center"/>
            <w:hideMark/>
          </w:tcPr>
          <w:p w14:paraId="77D9895E" w14:textId="37EBE3C7" w:rsidR="00600311" w:rsidRPr="0043264C" w:rsidRDefault="00600311" w:rsidP="00F82CBA">
            <w:pPr>
              <w:rPr>
                <w:rFonts w:asciiTheme="majorHAnsi" w:hAnsiTheme="majorHAnsi" w:cstheme="majorHAnsi"/>
                <w:b/>
                <w:bCs/>
                <w:sz w:val="14"/>
                <w:szCs w:val="14"/>
              </w:rPr>
            </w:pPr>
            <w:r w:rsidRPr="0043264C">
              <w:rPr>
                <w:rFonts w:asciiTheme="majorHAnsi" w:hAnsiTheme="majorHAnsi" w:cstheme="majorHAnsi"/>
                <w:b/>
                <w:bCs/>
                <w:sz w:val="14"/>
                <w:szCs w:val="14"/>
              </w:rPr>
              <w:t>1q de diciembre del 2024</w:t>
            </w:r>
          </w:p>
        </w:tc>
        <w:tc>
          <w:tcPr>
            <w:tcW w:w="716" w:type="pct"/>
            <w:tcBorders>
              <w:top w:val="single" w:sz="4" w:space="0" w:color="auto"/>
              <w:left w:val="nil"/>
              <w:bottom w:val="single" w:sz="4" w:space="0" w:color="auto"/>
              <w:right w:val="single" w:sz="4" w:space="0" w:color="auto"/>
            </w:tcBorders>
            <w:shd w:val="clear" w:color="000000" w:fill="FFDB69"/>
            <w:tcMar>
              <w:top w:w="15" w:type="dxa"/>
              <w:left w:w="15" w:type="dxa"/>
              <w:bottom w:w="0" w:type="dxa"/>
              <w:right w:w="15" w:type="dxa"/>
            </w:tcMar>
            <w:vAlign w:val="center"/>
            <w:hideMark/>
          </w:tcPr>
          <w:p w14:paraId="6F77D834" w14:textId="77777777" w:rsidR="00600311" w:rsidRPr="0043264C" w:rsidRDefault="00600311" w:rsidP="00F82CBA">
            <w:pPr>
              <w:jc w:val="center"/>
              <w:rPr>
                <w:rFonts w:asciiTheme="majorHAnsi" w:hAnsiTheme="majorHAnsi" w:cstheme="majorHAnsi"/>
                <w:b/>
                <w:bCs/>
                <w:sz w:val="14"/>
                <w:szCs w:val="14"/>
              </w:rPr>
            </w:pPr>
            <w:r w:rsidRPr="0043264C">
              <w:rPr>
                <w:rFonts w:asciiTheme="majorHAnsi" w:hAnsiTheme="majorHAnsi" w:cstheme="majorHAnsi"/>
                <w:b/>
                <w:bCs/>
                <w:sz w:val="14"/>
                <w:szCs w:val="14"/>
              </w:rPr>
              <w:t>Inflación quincenal</w:t>
            </w:r>
          </w:p>
        </w:tc>
        <w:tc>
          <w:tcPr>
            <w:tcW w:w="717" w:type="pct"/>
            <w:tcBorders>
              <w:top w:val="single" w:sz="4" w:space="0" w:color="auto"/>
              <w:left w:val="nil"/>
              <w:bottom w:val="single" w:sz="4" w:space="0" w:color="auto"/>
              <w:right w:val="single" w:sz="4" w:space="0" w:color="auto"/>
            </w:tcBorders>
            <w:shd w:val="clear" w:color="000000" w:fill="FFDB69"/>
            <w:tcMar>
              <w:top w:w="15" w:type="dxa"/>
              <w:left w:w="15" w:type="dxa"/>
              <w:bottom w:w="0" w:type="dxa"/>
              <w:right w:w="15" w:type="dxa"/>
            </w:tcMar>
            <w:vAlign w:val="center"/>
            <w:hideMark/>
          </w:tcPr>
          <w:p w14:paraId="63AE22DF" w14:textId="77777777" w:rsidR="00600311" w:rsidRPr="0043264C" w:rsidRDefault="00600311" w:rsidP="00F82CBA">
            <w:pPr>
              <w:jc w:val="center"/>
              <w:rPr>
                <w:rFonts w:asciiTheme="majorHAnsi" w:hAnsiTheme="majorHAnsi" w:cstheme="majorHAnsi"/>
                <w:b/>
                <w:bCs/>
                <w:sz w:val="14"/>
                <w:szCs w:val="14"/>
              </w:rPr>
            </w:pPr>
            <w:r w:rsidRPr="0043264C">
              <w:rPr>
                <w:rFonts w:asciiTheme="majorHAnsi" w:hAnsiTheme="majorHAnsi" w:cstheme="majorHAnsi"/>
                <w:b/>
                <w:bCs/>
                <w:sz w:val="14"/>
                <w:szCs w:val="14"/>
              </w:rPr>
              <w:t>Menor para una quincena igual desde:</w:t>
            </w:r>
          </w:p>
        </w:tc>
        <w:tc>
          <w:tcPr>
            <w:tcW w:w="717" w:type="pct"/>
            <w:tcBorders>
              <w:top w:val="single" w:sz="4" w:space="0" w:color="auto"/>
              <w:left w:val="nil"/>
              <w:bottom w:val="single" w:sz="4" w:space="0" w:color="auto"/>
              <w:right w:val="single" w:sz="4" w:space="0" w:color="auto"/>
            </w:tcBorders>
            <w:shd w:val="clear" w:color="000000" w:fill="FFDB69"/>
            <w:tcMar>
              <w:top w:w="15" w:type="dxa"/>
              <w:left w:w="15" w:type="dxa"/>
              <w:bottom w:w="0" w:type="dxa"/>
              <w:right w:w="15" w:type="dxa"/>
            </w:tcMar>
            <w:vAlign w:val="center"/>
            <w:hideMark/>
          </w:tcPr>
          <w:p w14:paraId="2A7CB914" w14:textId="77777777" w:rsidR="00600311" w:rsidRPr="0043264C" w:rsidRDefault="00600311" w:rsidP="00F82CBA">
            <w:pPr>
              <w:jc w:val="center"/>
              <w:rPr>
                <w:rFonts w:asciiTheme="majorHAnsi" w:hAnsiTheme="majorHAnsi" w:cstheme="majorHAnsi"/>
                <w:b/>
                <w:bCs/>
                <w:sz w:val="14"/>
                <w:szCs w:val="14"/>
              </w:rPr>
            </w:pPr>
            <w:r w:rsidRPr="0043264C">
              <w:rPr>
                <w:rFonts w:asciiTheme="majorHAnsi" w:hAnsiTheme="majorHAnsi" w:cstheme="majorHAnsi"/>
                <w:b/>
                <w:bCs/>
                <w:sz w:val="14"/>
                <w:szCs w:val="14"/>
              </w:rPr>
              <w:t>Inflación anual</w:t>
            </w:r>
          </w:p>
        </w:tc>
        <w:tc>
          <w:tcPr>
            <w:tcW w:w="713" w:type="pct"/>
            <w:tcBorders>
              <w:top w:val="single" w:sz="4" w:space="0" w:color="auto"/>
              <w:left w:val="nil"/>
              <w:bottom w:val="single" w:sz="4" w:space="0" w:color="auto"/>
              <w:right w:val="single" w:sz="4" w:space="0" w:color="auto"/>
            </w:tcBorders>
            <w:shd w:val="clear" w:color="000000" w:fill="FFDB69"/>
            <w:tcMar>
              <w:top w:w="15" w:type="dxa"/>
              <w:left w:w="15" w:type="dxa"/>
              <w:bottom w:w="0" w:type="dxa"/>
              <w:right w:w="15" w:type="dxa"/>
            </w:tcMar>
            <w:vAlign w:val="center"/>
            <w:hideMark/>
          </w:tcPr>
          <w:p w14:paraId="0DD4F59B" w14:textId="77777777" w:rsidR="00600311" w:rsidRPr="0043264C" w:rsidRDefault="00600311" w:rsidP="00F82CBA">
            <w:pPr>
              <w:jc w:val="center"/>
              <w:rPr>
                <w:rFonts w:asciiTheme="majorHAnsi" w:hAnsiTheme="majorHAnsi" w:cstheme="majorHAnsi"/>
                <w:b/>
                <w:bCs/>
                <w:sz w:val="14"/>
                <w:szCs w:val="14"/>
              </w:rPr>
            </w:pPr>
            <w:r w:rsidRPr="0043264C">
              <w:rPr>
                <w:rFonts w:asciiTheme="majorHAnsi" w:hAnsiTheme="majorHAnsi" w:cstheme="majorHAnsi"/>
                <w:b/>
                <w:bCs/>
                <w:sz w:val="14"/>
                <w:szCs w:val="14"/>
              </w:rPr>
              <w:t>Menor desde:</w:t>
            </w:r>
          </w:p>
        </w:tc>
        <w:tc>
          <w:tcPr>
            <w:tcW w:w="713" w:type="pct"/>
            <w:tcBorders>
              <w:top w:val="single" w:sz="4" w:space="0" w:color="auto"/>
              <w:left w:val="nil"/>
              <w:bottom w:val="single" w:sz="4" w:space="0" w:color="auto"/>
              <w:right w:val="single" w:sz="4" w:space="0" w:color="auto"/>
            </w:tcBorders>
            <w:shd w:val="clear" w:color="000000" w:fill="FFDB69"/>
          </w:tcPr>
          <w:p w14:paraId="5B6DF0D6" w14:textId="00E2BEC9" w:rsidR="00600311" w:rsidRPr="0043264C" w:rsidRDefault="00600311" w:rsidP="00600311">
            <w:pPr>
              <w:jc w:val="center"/>
              <w:rPr>
                <w:rFonts w:asciiTheme="majorHAnsi" w:hAnsiTheme="majorHAnsi" w:cstheme="majorHAnsi"/>
                <w:b/>
                <w:bCs/>
                <w:sz w:val="14"/>
                <w:szCs w:val="14"/>
              </w:rPr>
            </w:pPr>
            <w:r w:rsidRPr="0043264C">
              <w:rPr>
                <w:rFonts w:asciiTheme="majorHAnsi" w:hAnsiTheme="majorHAnsi" w:cstheme="majorHAnsi"/>
                <w:b/>
                <w:bCs/>
                <w:sz w:val="14"/>
                <w:szCs w:val="14"/>
              </w:rPr>
              <w:t>Quincenas seguidas desacelerándose</w:t>
            </w:r>
          </w:p>
        </w:tc>
      </w:tr>
      <w:tr w:rsidR="00600311" w:rsidRPr="0043264C" w14:paraId="3B3EC8C4" w14:textId="23BD32E3" w:rsidTr="0071133E">
        <w:trPr>
          <w:trHeight w:val="20"/>
        </w:trPr>
        <w:tc>
          <w:tcPr>
            <w:tcW w:w="1424" w:type="pct"/>
            <w:tcBorders>
              <w:top w:val="nil"/>
              <w:left w:val="single" w:sz="4" w:space="0" w:color="auto"/>
              <w:bottom w:val="single" w:sz="4" w:space="0" w:color="auto"/>
              <w:right w:val="single" w:sz="4" w:space="0" w:color="auto"/>
            </w:tcBorders>
            <w:shd w:val="clear" w:color="auto" w:fill="FFE89F"/>
            <w:noWrap/>
            <w:tcMar>
              <w:top w:w="15" w:type="dxa"/>
              <w:left w:w="15" w:type="dxa"/>
              <w:bottom w:w="0" w:type="dxa"/>
              <w:right w:w="15" w:type="dxa"/>
            </w:tcMar>
            <w:vAlign w:val="center"/>
            <w:hideMark/>
          </w:tcPr>
          <w:p w14:paraId="2EBA4CD4" w14:textId="77777777" w:rsidR="00600311" w:rsidRPr="0043264C" w:rsidRDefault="00600311" w:rsidP="00600311">
            <w:pPr>
              <w:rPr>
                <w:rFonts w:asciiTheme="majorHAnsi" w:hAnsiTheme="majorHAnsi" w:cstheme="majorHAnsi"/>
                <w:b/>
                <w:bCs/>
                <w:sz w:val="14"/>
                <w:szCs w:val="14"/>
              </w:rPr>
            </w:pPr>
            <w:r w:rsidRPr="0043264C">
              <w:rPr>
                <w:rFonts w:asciiTheme="majorHAnsi" w:hAnsiTheme="majorHAnsi" w:cstheme="majorHAnsi"/>
                <w:b/>
                <w:bCs/>
                <w:sz w:val="14"/>
                <w:szCs w:val="14"/>
              </w:rPr>
              <w:t>Inflación general</w:t>
            </w:r>
          </w:p>
        </w:tc>
        <w:tc>
          <w:tcPr>
            <w:tcW w:w="716" w:type="pct"/>
            <w:tcBorders>
              <w:top w:val="single" w:sz="4" w:space="0" w:color="auto"/>
              <w:left w:val="single" w:sz="4" w:space="0" w:color="auto"/>
              <w:bottom w:val="single" w:sz="4" w:space="0" w:color="auto"/>
              <w:right w:val="single" w:sz="4" w:space="0" w:color="auto"/>
            </w:tcBorders>
            <w:shd w:val="clear" w:color="000000" w:fill="FFE89F"/>
            <w:noWrap/>
            <w:tcMar>
              <w:top w:w="15" w:type="dxa"/>
              <w:left w:w="15" w:type="dxa"/>
              <w:bottom w:w="0" w:type="dxa"/>
              <w:right w:w="15" w:type="dxa"/>
            </w:tcMar>
            <w:vAlign w:val="center"/>
            <w:hideMark/>
          </w:tcPr>
          <w:p w14:paraId="3C2227D3" w14:textId="4FA04C95" w:rsidR="00600311" w:rsidRPr="0043264C" w:rsidRDefault="00600311" w:rsidP="00600311">
            <w:pPr>
              <w:jc w:val="center"/>
              <w:rPr>
                <w:rFonts w:asciiTheme="majorHAnsi" w:hAnsiTheme="majorHAnsi" w:cstheme="majorHAnsi"/>
                <w:b/>
                <w:bCs/>
                <w:sz w:val="14"/>
                <w:szCs w:val="14"/>
              </w:rPr>
            </w:pPr>
            <w:r w:rsidRPr="0043264C">
              <w:rPr>
                <w:rFonts w:ascii="Calibri" w:hAnsi="Calibri" w:cs="Calibri"/>
                <w:b/>
                <w:bCs/>
                <w:sz w:val="14"/>
                <w:szCs w:val="14"/>
              </w:rPr>
              <w:t>0.42%</w:t>
            </w:r>
          </w:p>
        </w:tc>
        <w:tc>
          <w:tcPr>
            <w:tcW w:w="717" w:type="pct"/>
            <w:tcBorders>
              <w:top w:val="single" w:sz="4" w:space="0" w:color="auto"/>
              <w:left w:val="nil"/>
              <w:bottom w:val="single" w:sz="4" w:space="0" w:color="auto"/>
              <w:right w:val="single" w:sz="4" w:space="0" w:color="auto"/>
            </w:tcBorders>
            <w:shd w:val="clear" w:color="000000" w:fill="FFE89F"/>
            <w:noWrap/>
            <w:tcMar>
              <w:top w:w="15" w:type="dxa"/>
              <w:left w:w="15" w:type="dxa"/>
              <w:bottom w:w="0" w:type="dxa"/>
              <w:right w:w="15" w:type="dxa"/>
            </w:tcMar>
            <w:vAlign w:val="center"/>
            <w:hideMark/>
          </w:tcPr>
          <w:p w14:paraId="055E9615" w14:textId="417976F0" w:rsidR="00600311" w:rsidRPr="0043264C" w:rsidRDefault="00600311" w:rsidP="00600311">
            <w:pPr>
              <w:jc w:val="center"/>
              <w:rPr>
                <w:rFonts w:asciiTheme="majorHAnsi" w:hAnsiTheme="majorHAnsi" w:cstheme="majorHAnsi"/>
                <w:b/>
                <w:bCs/>
                <w:color w:val="000000"/>
                <w:sz w:val="14"/>
                <w:szCs w:val="14"/>
              </w:rPr>
            </w:pPr>
            <w:r w:rsidRPr="0043264C">
              <w:rPr>
                <w:rFonts w:ascii="Calibri" w:hAnsi="Calibri" w:cs="Calibri"/>
                <w:b/>
                <w:bCs/>
                <w:color w:val="000000"/>
                <w:sz w:val="14"/>
                <w:szCs w:val="14"/>
              </w:rPr>
              <w:t>2022</w:t>
            </w:r>
          </w:p>
        </w:tc>
        <w:tc>
          <w:tcPr>
            <w:tcW w:w="717" w:type="pct"/>
            <w:tcBorders>
              <w:top w:val="single" w:sz="4" w:space="0" w:color="auto"/>
              <w:left w:val="nil"/>
              <w:bottom w:val="single" w:sz="4" w:space="0" w:color="auto"/>
              <w:right w:val="single" w:sz="4" w:space="0" w:color="auto"/>
            </w:tcBorders>
            <w:shd w:val="clear" w:color="000000" w:fill="FFE89F"/>
            <w:noWrap/>
            <w:tcMar>
              <w:top w:w="15" w:type="dxa"/>
              <w:left w:w="15" w:type="dxa"/>
              <w:bottom w:w="0" w:type="dxa"/>
              <w:right w:w="15" w:type="dxa"/>
            </w:tcMar>
            <w:vAlign w:val="center"/>
            <w:hideMark/>
          </w:tcPr>
          <w:p w14:paraId="18B06199" w14:textId="5848BCDA" w:rsidR="00600311" w:rsidRPr="0043264C" w:rsidRDefault="00600311" w:rsidP="00600311">
            <w:pPr>
              <w:jc w:val="center"/>
              <w:rPr>
                <w:rFonts w:asciiTheme="majorHAnsi" w:hAnsiTheme="majorHAnsi" w:cstheme="majorHAnsi"/>
                <w:b/>
                <w:bCs/>
                <w:sz w:val="14"/>
                <w:szCs w:val="14"/>
              </w:rPr>
            </w:pPr>
            <w:r w:rsidRPr="0043264C">
              <w:rPr>
                <w:rFonts w:ascii="Calibri" w:hAnsi="Calibri" w:cs="Calibri"/>
                <w:b/>
                <w:bCs/>
                <w:sz w:val="14"/>
                <w:szCs w:val="14"/>
              </w:rPr>
              <w:t>4.44%</w:t>
            </w:r>
          </w:p>
        </w:tc>
        <w:tc>
          <w:tcPr>
            <w:tcW w:w="713" w:type="pct"/>
            <w:tcBorders>
              <w:top w:val="single" w:sz="4" w:space="0" w:color="auto"/>
              <w:left w:val="nil"/>
              <w:bottom w:val="single" w:sz="4" w:space="0" w:color="auto"/>
              <w:right w:val="single" w:sz="4" w:space="0" w:color="auto"/>
            </w:tcBorders>
            <w:shd w:val="clear" w:color="000000" w:fill="FFE89F"/>
            <w:noWrap/>
            <w:tcMar>
              <w:top w:w="15" w:type="dxa"/>
              <w:left w:w="15" w:type="dxa"/>
              <w:bottom w:w="0" w:type="dxa"/>
              <w:right w:w="15" w:type="dxa"/>
            </w:tcMar>
            <w:vAlign w:val="center"/>
            <w:hideMark/>
          </w:tcPr>
          <w:p w14:paraId="419CE660" w14:textId="0802EC7E" w:rsidR="00600311" w:rsidRPr="0043264C" w:rsidRDefault="00600311" w:rsidP="00600311">
            <w:pPr>
              <w:jc w:val="center"/>
              <w:rPr>
                <w:rFonts w:asciiTheme="majorHAnsi" w:hAnsiTheme="majorHAnsi" w:cstheme="majorHAnsi"/>
                <w:b/>
                <w:bCs/>
                <w:sz w:val="14"/>
                <w:szCs w:val="14"/>
              </w:rPr>
            </w:pPr>
            <w:r w:rsidRPr="0043264C">
              <w:rPr>
                <w:rFonts w:ascii="Calibri" w:hAnsi="Calibri" w:cs="Calibri"/>
                <w:b/>
                <w:bCs/>
                <w:sz w:val="14"/>
                <w:szCs w:val="14"/>
              </w:rPr>
              <w:t>2Q Mar 2024</w:t>
            </w:r>
          </w:p>
        </w:tc>
        <w:tc>
          <w:tcPr>
            <w:tcW w:w="713" w:type="pct"/>
            <w:tcBorders>
              <w:top w:val="single" w:sz="4" w:space="0" w:color="auto"/>
              <w:left w:val="nil"/>
              <w:bottom w:val="single" w:sz="4" w:space="0" w:color="auto"/>
              <w:right w:val="single" w:sz="4" w:space="0" w:color="auto"/>
            </w:tcBorders>
            <w:shd w:val="clear" w:color="000000" w:fill="FFE89F"/>
            <w:vAlign w:val="center"/>
          </w:tcPr>
          <w:p w14:paraId="2C560396" w14:textId="73374D5A" w:rsidR="00600311" w:rsidRPr="0043264C" w:rsidRDefault="00600311" w:rsidP="00600311">
            <w:pPr>
              <w:jc w:val="center"/>
              <w:rPr>
                <w:rFonts w:ascii="Calibri" w:hAnsi="Calibri" w:cs="Calibri"/>
                <w:b/>
                <w:bCs/>
                <w:sz w:val="14"/>
                <w:szCs w:val="14"/>
              </w:rPr>
            </w:pPr>
            <w:r w:rsidRPr="0043264C">
              <w:rPr>
                <w:rFonts w:ascii="Calibri" w:hAnsi="Calibri" w:cs="Calibri"/>
                <w:b/>
                <w:bCs/>
                <w:color w:val="000000"/>
                <w:sz w:val="14"/>
                <w:szCs w:val="14"/>
              </w:rPr>
              <w:t>3</w:t>
            </w:r>
          </w:p>
        </w:tc>
      </w:tr>
      <w:tr w:rsidR="00600311" w:rsidRPr="0043264C" w14:paraId="21ED5061" w14:textId="7AD45227" w:rsidTr="0071133E">
        <w:trPr>
          <w:trHeight w:val="20"/>
        </w:trPr>
        <w:tc>
          <w:tcPr>
            <w:tcW w:w="1424" w:type="pct"/>
            <w:tcBorders>
              <w:top w:val="nil"/>
              <w:left w:val="single" w:sz="4" w:space="0" w:color="auto"/>
              <w:bottom w:val="single" w:sz="4" w:space="0" w:color="auto"/>
              <w:right w:val="single" w:sz="4" w:space="0" w:color="auto"/>
            </w:tcBorders>
            <w:shd w:val="clear" w:color="auto" w:fill="FFF9E7"/>
            <w:noWrap/>
            <w:tcMar>
              <w:top w:w="15" w:type="dxa"/>
              <w:left w:w="225" w:type="dxa"/>
              <w:bottom w:w="0" w:type="dxa"/>
              <w:right w:w="15" w:type="dxa"/>
            </w:tcMar>
            <w:vAlign w:val="center"/>
            <w:hideMark/>
          </w:tcPr>
          <w:p w14:paraId="72A8E383" w14:textId="77777777" w:rsidR="00600311" w:rsidRPr="0043264C" w:rsidRDefault="00600311" w:rsidP="00600311">
            <w:pPr>
              <w:ind w:firstLineChars="100" w:firstLine="14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Subyacente</w:t>
            </w:r>
          </w:p>
        </w:tc>
        <w:tc>
          <w:tcPr>
            <w:tcW w:w="716" w:type="pct"/>
            <w:tcBorders>
              <w:top w:val="nil"/>
              <w:left w:val="single" w:sz="4" w:space="0" w:color="auto"/>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542D1066" w14:textId="1BB215F6"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0.50%</w:t>
            </w:r>
          </w:p>
        </w:tc>
        <w:tc>
          <w:tcPr>
            <w:tcW w:w="717"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5FDB03FA" w14:textId="3E0F788B"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2023</w:t>
            </w:r>
          </w:p>
        </w:tc>
        <w:tc>
          <w:tcPr>
            <w:tcW w:w="717"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70346F60" w14:textId="21889E34"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3.62%</w:t>
            </w:r>
          </w:p>
        </w:tc>
        <w:tc>
          <w:tcPr>
            <w:tcW w:w="713"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26A1A2BF" w14:textId="12F0905F"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000000" w:fill="FFF9E7"/>
            <w:vAlign w:val="center"/>
          </w:tcPr>
          <w:p w14:paraId="3E609901" w14:textId="31DF3BF1" w:rsidR="00600311" w:rsidRPr="0043264C" w:rsidRDefault="00600311" w:rsidP="00600311">
            <w:pPr>
              <w:jc w:val="center"/>
              <w:rPr>
                <w:rFonts w:ascii="Calibri" w:hAnsi="Calibri" w:cs="Calibri"/>
                <w:sz w:val="14"/>
                <w:szCs w:val="14"/>
              </w:rPr>
            </w:pPr>
            <w:r w:rsidRPr="0043264C">
              <w:rPr>
                <w:rFonts w:ascii="Calibri" w:hAnsi="Calibri" w:cs="Calibri"/>
                <w:color w:val="000000"/>
                <w:sz w:val="14"/>
                <w:szCs w:val="14"/>
              </w:rPr>
              <w:t>-</w:t>
            </w:r>
          </w:p>
        </w:tc>
      </w:tr>
      <w:tr w:rsidR="00600311" w:rsidRPr="0043264C" w14:paraId="7FACC309" w14:textId="1ADA9880"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450" w:type="dxa"/>
              <w:bottom w:w="0" w:type="dxa"/>
              <w:right w:w="15" w:type="dxa"/>
            </w:tcMar>
            <w:vAlign w:val="center"/>
            <w:hideMark/>
          </w:tcPr>
          <w:p w14:paraId="28316EA9" w14:textId="77777777" w:rsidR="00600311" w:rsidRPr="0043264C" w:rsidRDefault="00600311" w:rsidP="00600311">
            <w:pPr>
              <w:ind w:firstLineChars="200" w:firstLine="28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Mercancías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EFF92" w14:textId="3C443D6C"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0.44%</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F4407" w14:textId="7A88E952"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19F07" w14:textId="52AE4F9C"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2.44%</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EAB42" w14:textId="67CEE153"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4F1937DF" w14:textId="06A7136F"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0512E244" w14:textId="158149E5"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1C33C17"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Alimenticias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4EFBB" w14:textId="0E4D3A28"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0.31%</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DCDAC" w14:textId="3D8CDD52"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8192C" w14:textId="613BB0B0"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3.59%</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A9715" w14:textId="07877C9C"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1BFC8E8A" w14:textId="73C4259D"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1CF1EE08" w14:textId="42F50E63"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407EF1D1"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No alimenticias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FB1B8" w14:textId="32FC0ACE"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0.56%</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1D508" w14:textId="0645AB8D"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6710B" w14:textId="6F62AE99"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1.28%</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B845E" w14:textId="6C4B53DE"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4E35C607" w14:textId="20DD529A"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03FD70A7" w14:textId="7FFAE11E"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450" w:type="dxa"/>
              <w:bottom w:w="0" w:type="dxa"/>
              <w:right w:w="15" w:type="dxa"/>
            </w:tcMar>
            <w:vAlign w:val="center"/>
            <w:hideMark/>
          </w:tcPr>
          <w:p w14:paraId="08456142" w14:textId="77777777" w:rsidR="00600311" w:rsidRPr="0043264C" w:rsidRDefault="00600311" w:rsidP="00600311">
            <w:pPr>
              <w:ind w:firstLineChars="200" w:firstLine="28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Servicios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0C4DD" w14:textId="2B4887A1"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0.56%</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D52B6" w14:textId="309B2EBB"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2022</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AF6B2" w14:textId="13D1424C"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4.88%</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6D7B0" w14:textId="54EA6081"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1Q Nov 2024</w:t>
            </w:r>
          </w:p>
        </w:tc>
        <w:tc>
          <w:tcPr>
            <w:tcW w:w="713" w:type="pct"/>
            <w:tcBorders>
              <w:top w:val="nil"/>
              <w:left w:val="nil"/>
              <w:bottom w:val="single" w:sz="4" w:space="0" w:color="auto"/>
              <w:right w:val="single" w:sz="4" w:space="0" w:color="auto"/>
            </w:tcBorders>
            <w:shd w:val="clear" w:color="auto" w:fill="auto"/>
            <w:vAlign w:val="center"/>
          </w:tcPr>
          <w:p w14:paraId="569B2F49" w14:textId="3E850D81" w:rsidR="00600311" w:rsidRPr="0043264C" w:rsidRDefault="00600311" w:rsidP="00600311">
            <w:pPr>
              <w:jc w:val="center"/>
              <w:rPr>
                <w:rFonts w:ascii="Calibri" w:hAnsi="Calibri" w:cs="Calibri"/>
                <w:sz w:val="14"/>
                <w:szCs w:val="14"/>
              </w:rPr>
            </w:pPr>
            <w:r w:rsidRPr="0043264C">
              <w:rPr>
                <w:rFonts w:ascii="Calibri" w:hAnsi="Calibri" w:cs="Calibri"/>
                <w:sz w:val="14"/>
                <w:szCs w:val="14"/>
              </w:rPr>
              <w:t>1</w:t>
            </w:r>
          </w:p>
        </w:tc>
      </w:tr>
      <w:tr w:rsidR="00600311" w:rsidRPr="0043264C" w14:paraId="5DFC3923" w14:textId="1A71F93C"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CD777DB"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Vivienda</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DE772" w14:textId="400D5DF4"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0.13%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4E6EA" w14:textId="5A5245BF"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B8B6F" w14:textId="44FBB55A"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4.00%</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0CE6E" w14:textId="66E686DC"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217333FD" w14:textId="34D09AF6"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375EBDAA" w14:textId="5B9E256F"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3028D233"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Educación</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4CA3E" w14:textId="3B30FA4A"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0.00%</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F6C97" w14:textId="29E574D8"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59BF3" w14:textId="06B96A5C"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5.79%</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C6A81" w14:textId="247C7EAD"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Oct 2024</w:t>
            </w:r>
          </w:p>
        </w:tc>
        <w:tc>
          <w:tcPr>
            <w:tcW w:w="713" w:type="pct"/>
            <w:tcBorders>
              <w:top w:val="nil"/>
              <w:left w:val="nil"/>
              <w:bottom w:val="single" w:sz="4" w:space="0" w:color="auto"/>
              <w:right w:val="single" w:sz="4" w:space="0" w:color="auto"/>
            </w:tcBorders>
            <w:shd w:val="clear" w:color="auto" w:fill="auto"/>
            <w:vAlign w:val="center"/>
          </w:tcPr>
          <w:p w14:paraId="5D0EF9D3" w14:textId="57146F77"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6E2E648B" w14:textId="22930013"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489F04B0"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Otros servicios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3BD4A" w14:textId="48DFA1B4"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1.06%</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18232" w14:textId="51ADE07A"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2022</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C887D" w14:textId="34F70932"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5.67%</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CF275" w14:textId="2455A9F6"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1Q Nov 2024</w:t>
            </w:r>
          </w:p>
        </w:tc>
        <w:tc>
          <w:tcPr>
            <w:tcW w:w="713" w:type="pct"/>
            <w:tcBorders>
              <w:top w:val="nil"/>
              <w:left w:val="nil"/>
              <w:bottom w:val="single" w:sz="4" w:space="0" w:color="auto"/>
              <w:right w:val="single" w:sz="4" w:space="0" w:color="auto"/>
            </w:tcBorders>
            <w:shd w:val="clear" w:color="auto" w:fill="auto"/>
            <w:vAlign w:val="center"/>
          </w:tcPr>
          <w:p w14:paraId="7C76AC5E" w14:textId="05660535" w:rsidR="00600311" w:rsidRPr="0043264C" w:rsidRDefault="00600311" w:rsidP="00600311">
            <w:pPr>
              <w:jc w:val="center"/>
              <w:rPr>
                <w:rFonts w:ascii="Calibri" w:hAnsi="Calibri" w:cs="Calibri"/>
                <w:sz w:val="14"/>
                <w:szCs w:val="14"/>
              </w:rPr>
            </w:pPr>
            <w:r w:rsidRPr="0043264C">
              <w:rPr>
                <w:rFonts w:ascii="Calibri" w:hAnsi="Calibri" w:cs="Calibri"/>
                <w:sz w:val="14"/>
                <w:szCs w:val="14"/>
              </w:rPr>
              <w:t>1</w:t>
            </w:r>
          </w:p>
        </w:tc>
      </w:tr>
      <w:tr w:rsidR="00600311" w:rsidRPr="0043264C" w14:paraId="27E74640" w14:textId="6FBF9FAF" w:rsidTr="0071133E">
        <w:trPr>
          <w:trHeight w:val="20"/>
        </w:trPr>
        <w:tc>
          <w:tcPr>
            <w:tcW w:w="1424" w:type="pct"/>
            <w:tcBorders>
              <w:top w:val="nil"/>
              <w:left w:val="single" w:sz="4" w:space="0" w:color="auto"/>
              <w:bottom w:val="single" w:sz="4" w:space="0" w:color="auto"/>
              <w:right w:val="single" w:sz="4" w:space="0" w:color="auto"/>
            </w:tcBorders>
            <w:shd w:val="clear" w:color="000000" w:fill="FFF9E7"/>
            <w:noWrap/>
            <w:tcMar>
              <w:top w:w="15" w:type="dxa"/>
              <w:left w:w="225" w:type="dxa"/>
              <w:bottom w:w="0" w:type="dxa"/>
              <w:right w:w="15" w:type="dxa"/>
            </w:tcMar>
            <w:vAlign w:val="center"/>
            <w:hideMark/>
          </w:tcPr>
          <w:p w14:paraId="04D413DF" w14:textId="77777777" w:rsidR="00600311" w:rsidRPr="0043264C" w:rsidRDefault="00600311" w:rsidP="00600311">
            <w:pPr>
              <w:ind w:firstLineChars="100" w:firstLine="14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No subyacente</w:t>
            </w:r>
          </w:p>
        </w:tc>
        <w:tc>
          <w:tcPr>
            <w:tcW w:w="716" w:type="pct"/>
            <w:tcBorders>
              <w:top w:val="nil"/>
              <w:left w:val="single" w:sz="4" w:space="0" w:color="auto"/>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570B10BA" w14:textId="4BEDD70E"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0.16%</w:t>
            </w:r>
          </w:p>
        </w:tc>
        <w:tc>
          <w:tcPr>
            <w:tcW w:w="717"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5E8D8AAE" w14:textId="444862B0"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2022</w:t>
            </w:r>
          </w:p>
        </w:tc>
        <w:tc>
          <w:tcPr>
            <w:tcW w:w="717"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770E309D" w14:textId="735D6A00"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7.00%</w:t>
            </w:r>
          </w:p>
        </w:tc>
        <w:tc>
          <w:tcPr>
            <w:tcW w:w="713" w:type="pct"/>
            <w:tcBorders>
              <w:top w:val="nil"/>
              <w:left w:val="nil"/>
              <w:bottom w:val="single" w:sz="4" w:space="0" w:color="auto"/>
              <w:right w:val="single" w:sz="4" w:space="0" w:color="auto"/>
            </w:tcBorders>
            <w:shd w:val="clear" w:color="000000" w:fill="FFF9E7"/>
            <w:noWrap/>
            <w:tcMar>
              <w:top w:w="15" w:type="dxa"/>
              <w:left w:w="15" w:type="dxa"/>
              <w:bottom w:w="0" w:type="dxa"/>
              <w:right w:w="15" w:type="dxa"/>
            </w:tcMar>
            <w:vAlign w:val="center"/>
            <w:hideMark/>
          </w:tcPr>
          <w:p w14:paraId="766BFD74" w14:textId="7D14A5E5"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 xml:space="preserve">2Q </w:t>
            </w:r>
            <w:proofErr w:type="spellStart"/>
            <w:r w:rsidRPr="0043264C">
              <w:rPr>
                <w:rFonts w:ascii="Calibri" w:hAnsi="Calibri" w:cs="Calibri"/>
                <w:sz w:val="14"/>
                <w:szCs w:val="14"/>
              </w:rPr>
              <w:t>Sep</w:t>
            </w:r>
            <w:proofErr w:type="spellEnd"/>
            <w:r w:rsidRPr="0043264C">
              <w:rPr>
                <w:rFonts w:ascii="Calibri" w:hAnsi="Calibri" w:cs="Calibri"/>
                <w:sz w:val="14"/>
                <w:szCs w:val="14"/>
              </w:rPr>
              <w:t xml:space="preserve"> 2024</w:t>
            </w:r>
          </w:p>
        </w:tc>
        <w:tc>
          <w:tcPr>
            <w:tcW w:w="713" w:type="pct"/>
            <w:tcBorders>
              <w:top w:val="nil"/>
              <w:left w:val="nil"/>
              <w:bottom w:val="single" w:sz="4" w:space="0" w:color="auto"/>
              <w:right w:val="single" w:sz="4" w:space="0" w:color="auto"/>
            </w:tcBorders>
            <w:shd w:val="clear" w:color="000000" w:fill="FFF9E7"/>
            <w:vAlign w:val="center"/>
          </w:tcPr>
          <w:p w14:paraId="255E016D" w14:textId="1C2D3C7A" w:rsidR="00600311" w:rsidRPr="0043264C" w:rsidRDefault="00600311" w:rsidP="00600311">
            <w:pPr>
              <w:jc w:val="center"/>
              <w:rPr>
                <w:rFonts w:ascii="Calibri" w:hAnsi="Calibri" w:cs="Calibri"/>
                <w:sz w:val="14"/>
                <w:szCs w:val="14"/>
              </w:rPr>
            </w:pPr>
            <w:r w:rsidRPr="0043264C">
              <w:rPr>
                <w:rFonts w:ascii="Calibri" w:hAnsi="Calibri" w:cs="Calibri"/>
                <w:color w:val="000000"/>
                <w:sz w:val="14"/>
                <w:szCs w:val="14"/>
              </w:rPr>
              <w:t>3</w:t>
            </w:r>
          </w:p>
        </w:tc>
      </w:tr>
      <w:tr w:rsidR="00600311" w:rsidRPr="0043264C" w14:paraId="60D4BCA6" w14:textId="22696806"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450" w:type="dxa"/>
              <w:bottom w:w="0" w:type="dxa"/>
              <w:right w:w="15" w:type="dxa"/>
            </w:tcMar>
            <w:vAlign w:val="center"/>
            <w:hideMark/>
          </w:tcPr>
          <w:p w14:paraId="6E7EC982" w14:textId="77777777" w:rsidR="00600311" w:rsidRPr="0043264C" w:rsidRDefault="00600311" w:rsidP="00600311">
            <w:pPr>
              <w:ind w:firstLineChars="200" w:firstLine="28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Agropecuarios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56C47" w14:textId="5A0291D0"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0.10%</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79093" w14:textId="427BB001"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2021</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21465" w14:textId="314247E8"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8.68%</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53AFC" w14:textId="21F8D3EB"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 xml:space="preserve">2Q </w:t>
            </w:r>
            <w:proofErr w:type="spellStart"/>
            <w:r w:rsidRPr="0043264C">
              <w:rPr>
                <w:rFonts w:ascii="Calibri" w:hAnsi="Calibri" w:cs="Calibri"/>
                <w:sz w:val="14"/>
                <w:szCs w:val="14"/>
              </w:rPr>
              <w:t>Sep</w:t>
            </w:r>
            <w:proofErr w:type="spellEnd"/>
            <w:r w:rsidRPr="0043264C">
              <w:rPr>
                <w:rFonts w:ascii="Calibri" w:hAnsi="Calibri" w:cs="Calibri"/>
                <w:sz w:val="14"/>
                <w:szCs w:val="14"/>
              </w:rPr>
              <w:t xml:space="preserve"> 2024</w:t>
            </w:r>
          </w:p>
        </w:tc>
        <w:tc>
          <w:tcPr>
            <w:tcW w:w="713" w:type="pct"/>
            <w:tcBorders>
              <w:top w:val="nil"/>
              <w:left w:val="nil"/>
              <w:bottom w:val="single" w:sz="4" w:space="0" w:color="auto"/>
              <w:right w:val="single" w:sz="4" w:space="0" w:color="auto"/>
            </w:tcBorders>
            <w:shd w:val="clear" w:color="auto" w:fill="auto"/>
            <w:vAlign w:val="center"/>
          </w:tcPr>
          <w:p w14:paraId="40C87536" w14:textId="61E69E6F" w:rsidR="00600311" w:rsidRPr="0043264C" w:rsidRDefault="00600311" w:rsidP="00600311">
            <w:pPr>
              <w:jc w:val="center"/>
              <w:rPr>
                <w:rFonts w:ascii="Calibri" w:hAnsi="Calibri" w:cs="Calibri"/>
                <w:sz w:val="14"/>
                <w:szCs w:val="14"/>
              </w:rPr>
            </w:pPr>
            <w:r w:rsidRPr="0043264C">
              <w:rPr>
                <w:rFonts w:ascii="Calibri" w:hAnsi="Calibri" w:cs="Calibri"/>
                <w:sz w:val="14"/>
                <w:szCs w:val="14"/>
              </w:rPr>
              <w:t>3</w:t>
            </w:r>
          </w:p>
        </w:tc>
      </w:tr>
      <w:tr w:rsidR="00600311" w:rsidRPr="0043264C" w14:paraId="7926DE24" w14:textId="654579F2"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5C5603BF"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Frutas y verduras</w:t>
            </w:r>
          </w:p>
        </w:tc>
        <w:tc>
          <w:tcPr>
            <w:tcW w:w="7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A8F40" w14:textId="59A6C2E2"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9C0006"/>
                <w:sz w:val="14"/>
                <w:szCs w:val="14"/>
              </w:rPr>
              <w:t>-0.45%</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6746C" w14:textId="2B6D05DA"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2021</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D3BE9" w14:textId="09359043"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11.23%</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029F8" w14:textId="06CFB424"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 xml:space="preserve">2Q </w:t>
            </w:r>
            <w:proofErr w:type="spellStart"/>
            <w:r w:rsidRPr="0043264C">
              <w:rPr>
                <w:rFonts w:ascii="Calibri" w:hAnsi="Calibri" w:cs="Calibri"/>
                <w:sz w:val="14"/>
                <w:szCs w:val="14"/>
              </w:rPr>
              <w:t>Sep</w:t>
            </w:r>
            <w:proofErr w:type="spellEnd"/>
            <w:r w:rsidRPr="0043264C">
              <w:rPr>
                <w:rFonts w:ascii="Calibri" w:hAnsi="Calibri" w:cs="Calibri"/>
                <w:sz w:val="14"/>
                <w:szCs w:val="14"/>
              </w:rPr>
              <w:t xml:space="preserve"> 2024</w:t>
            </w:r>
          </w:p>
        </w:tc>
        <w:tc>
          <w:tcPr>
            <w:tcW w:w="713" w:type="pct"/>
            <w:tcBorders>
              <w:top w:val="nil"/>
              <w:left w:val="nil"/>
              <w:bottom w:val="single" w:sz="4" w:space="0" w:color="auto"/>
              <w:right w:val="single" w:sz="4" w:space="0" w:color="auto"/>
            </w:tcBorders>
            <w:shd w:val="clear" w:color="auto" w:fill="auto"/>
            <w:vAlign w:val="center"/>
          </w:tcPr>
          <w:p w14:paraId="3564373E" w14:textId="693E6ADE" w:rsidR="00600311" w:rsidRPr="0043264C" w:rsidRDefault="00600311" w:rsidP="00600311">
            <w:pPr>
              <w:jc w:val="center"/>
              <w:rPr>
                <w:rFonts w:ascii="Calibri" w:hAnsi="Calibri" w:cs="Calibri"/>
                <w:sz w:val="14"/>
                <w:szCs w:val="14"/>
              </w:rPr>
            </w:pPr>
            <w:r w:rsidRPr="0043264C">
              <w:rPr>
                <w:rFonts w:ascii="Calibri" w:hAnsi="Calibri" w:cs="Calibri"/>
                <w:sz w:val="14"/>
                <w:szCs w:val="14"/>
              </w:rPr>
              <w:t>3</w:t>
            </w:r>
          </w:p>
        </w:tc>
      </w:tr>
      <w:tr w:rsidR="00600311" w:rsidRPr="0043264C" w14:paraId="67A56FF3" w14:textId="60A828CD"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6324FD1E"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Pecuarios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F536C" w14:textId="24E1902C" w:rsidR="00600311" w:rsidRPr="0043264C" w:rsidRDefault="00600311" w:rsidP="00600311">
            <w:pPr>
              <w:jc w:val="center"/>
              <w:rPr>
                <w:rFonts w:asciiTheme="majorHAnsi" w:hAnsiTheme="majorHAnsi" w:cstheme="majorHAnsi"/>
                <w:color w:val="9C0006"/>
                <w:sz w:val="14"/>
                <w:szCs w:val="14"/>
              </w:rPr>
            </w:pPr>
            <w:r w:rsidRPr="0043264C">
              <w:rPr>
                <w:rFonts w:ascii="Calibri" w:hAnsi="Calibri" w:cs="Calibri"/>
                <w:color w:val="000000"/>
                <w:sz w:val="14"/>
                <w:szCs w:val="14"/>
              </w:rPr>
              <w:t>0.52%</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022CF" w14:textId="3CEE958C"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45177" w14:textId="1EC84D89"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5.79%</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61C38" w14:textId="647561A4"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2E32342A" w14:textId="062FCD30"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54E962BA" w14:textId="5707F41E"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450" w:type="dxa"/>
              <w:bottom w:w="0" w:type="dxa"/>
              <w:right w:w="15" w:type="dxa"/>
            </w:tcMar>
            <w:vAlign w:val="center"/>
            <w:hideMark/>
          </w:tcPr>
          <w:p w14:paraId="50C4B4CA" w14:textId="77777777" w:rsidR="00600311" w:rsidRPr="0043264C" w:rsidRDefault="00600311" w:rsidP="00600311">
            <w:pPr>
              <w:ind w:firstLineChars="200" w:firstLine="281"/>
              <w:rPr>
                <w:rFonts w:asciiTheme="majorHAnsi" w:hAnsiTheme="majorHAnsi" w:cstheme="majorHAnsi"/>
                <w:b/>
                <w:bCs/>
                <w:color w:val="000000"/>
                <w:sz w:val="14"/>
                <w:szCs w:val="14"/>
              </w:rPr>
            </w:pPr>
            <w:r w:rsidRPr="0043264C">
              <w:rPr>
                <w:rFonts w:asciiTheme="majorHAnsi" w:hAnsiTheme="majorHAnsi" w:cstheme="majorHAnsi"/>
                <w:b/>
                <w:bCs/>
                <w:color w:val="000000"/>
                <w:sz w:val="14"/>
                <w:szCs w:val="14"/>
              </w:rPr>
              <w:t>Energéticos y tarifas autorizadas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8785C" w14:textId="7E874726"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0.21%</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E2621" w14:textId="6938B836"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9AF7C" w14:textId="55B79E75"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5.11%</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DE650" w14:textId="3569D630"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672CF9F7" w14:textId="384AB293"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27488E11" w14:textId="437E551E"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187D6758"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Energéticos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2526B" w14:textId="4AEF92EB"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0.12%</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0963B" w14:textId="419B70CA"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03A96" w14:textId="33B01F6B"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5.91%</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46EB9" w14:textId="77640D92"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60943850" w14:textId="546991C6"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r w:rsidR="00600311" w:rsidRPr="0043264C" w14:paraId="6AEC74C4" w14:textId="31413BCA" w:rsidTr="0071133E">
        <w:trPr>
          <w:trHeight w:val="20"/>
        </w:trPr>
        <w:tc>
          <w:tcPr>
            <w:tcW w:w="1424" w:type="pct"/>
            <w:tcBorders>
              <w:top w:val="nil"/>
              <w:left w:val="single" w:sz="4" w:space="0" w:color="auto"/>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57EFA5E" w14:textId="77777777" w:rsidR="00600311" w:rsidRPr="0043264C" w:rsidRDefault="00600311" w:rsidP="00600311">
            <w:pPr>
              <w:ind w:firstLineChars="300" w:firstLine="420"/>
              <w:rPr>
                <w:rFonts w:asciiTheme="majorHAnsi" w:hAnsiTheme="majorHAnsi" w:cstheme="majorHAnsi"/>
                <w:color w:val="000000"/>
                <w:sz w:val="14"/>
                <w:szCs w:val="14"/>
              </w:rPr>
            </w:pPr>
            <w:r w:rsidRPr="0043264C">
              <w:rPr>
                <w:rFonts w:asciiTheme="majorHAnsi" w:hAnsiTheme="majorHAnsi" w:cstheme="majorHAnsi"/>
                <w:color w:val="000000"/>
                <w:sz w:val="14"/>
                <w:szCs w:val="14"/>
              </w:rPr>
              <w:t>Tarifas autorizadas</w:t>
            </w:r>
          </w:p>
        </w:tc>
        <w:tc>
          <w:tcPr>
            <w:tcW w:w="71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7B9F9" w14:textId="30D16FA7" w:rsidR="00600311" w:rsidRPr="0043264C" w:rsidRDefault="00600311" w:rsidP="00600311">
            <w:pPr>
              <w:jc w:val="center"/>
              <w:rPr>
                <w:rFonts w:asciiTheme="majorHAnsi" w:hAnsiTheme="majorHAnsi" w:cstheme="majorHAnsi"/>
                <w:color w:val="9C0006"/>
                <w:sz w:val="14"/>
                <w:szCs w:val="14"/>
              </w:rPr>
            </w:pPr>
            <w:r w:rsidRPr="0043264C">
              <w:rPr>
                <w:rFonts w:ascii="Calibri" w:hAnsi="Calibri" w:cs="Calibri"/>
                <w:color w:val="000000"/>
                <w:sz w:val="14"/>
                <w:szCs w:val="14"/>
              </w:rPr>
              <w:t>0.38%</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6466C" w14:textId="57F97CC4"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2023</w:t>
            </w:r>
          </w:p>
        </w:tc>
        <w:tc>
          <w:tcPr>
            <w:tcW w:w="7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86337" w14:textId="04ED8CCF" w:rsidR="00600311" w:rsidRPr="0043264C" w:rsidRDefault="00600311" w:rsidP="00600311">
            <w:pPr>
              <w:jc w:val="center"/>
              <w:rPr>
                <w:rFonts w:asciiTheme="majorHAnsi" w:hAnsiTheme="majorHAnsi" w:cstheme="majorHAnsi"/>
                <w:color w:val="000000"/>
                <w:sz w:val="14"/>
                <w:szCs w:val="14"/>
              </w:rPr>
            </w:pPr>
            <w:r w:rsidRPr="0043264C">
              <w:rPr>
                <w:rFonts w:ascii="Calibri" w:hAnsi="Calibri" w:cs="Calibri"/>
                <w:color w:val="000000"/>
                <w:sz w:val="14"/>
                <w:szCs w:val="14"/>
              </w:rPr>
              <w:t>4.17%</w:t>
            </w:r>
          </w:p>
        </w:tc>
        <w:tc>
          <w:tcPr>
            <w:tcW w:w="7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327D9" w14:textId="2CAA2654" w:rsidR="00600311" w:rsidRPr="0043264C" w:rsidRDefault="00600311" w:rsidP="00600311">
            <w:pPr>
              <w:jc w:val="center"/>
              <w:rPr>
                <w:rFonts w:asciiTheme="majorHAnsi" w:hAnsiTheme="majorHAnsi" w:cstheme="majorHAnsi"/>
                <w:sz w:val="14"/>
                <w:szCs w:val="14"/>
              </w:rPr>
            </w:pPr>
            <w:r w:rsidRPr="0043264C">
              <w:rPr>
                <w:rFonts w:ascii="Calibri" w:hAnsi="Calibri" w:cs="Calibri"/>
                <w:sz w:val="14"/>
                <w:szCs w:val="14"/>
              </w:rPr>
              <w:t>2Q Nov 2024</w:t>
            </w:r>
          </w:p>
        </w:tc>
        <w:tc>
          <w:tcPr>
            <w:tcW w:w="713" w:type="pct"/>
            <w:tcBorders>
              <w:top w:val="nil"/>
              <w:left w:val="nil"/>
              <w:bottom w:val="single" w:sz="4" w:space="0" w:color="auto"/>
              <w:right w:val="single" w:sz="4" w:space="0" w:color="auto"/>
            </w:tcBorders>
            <w:shd w:val="clear" w:color="auto" w:fill="auto"/>
            <w:vAlign w:val="center"/>
          </w:tcPr>
          <w:p w14:paraId="2E9F8F59" w14:textId="168D2DE0" w:rsidR="00600311" w:rsidRPr="0043264C" w:rsidRDefault="00600311" w:rsidP="00600311">
            <w:pPr>
              <w:jc w:val="center"/>
              <w:rPr>
                <w:rFonts w:ascii="Calibri" w:hAnsi="Calibri" w:cs="Calibri"/>
                <w:sz w:val="14"/>
                <w:szCs w:val="14"/>
              </w:rPr>
            </w:pPr>
            <w:r w:rsidRPr="0043264C">
              <w:rPr>
                <w:rFonts w:ascii="Calibri" w:hAnsi="Calibri" w:cs="Calibri"/>
                <w:sz w:val="14"/>
                <w:szCs w:val="14"/>
              </w:rPr>
              <w:t>-</w:t>
            </w:r>
          </w:p>
        </w:tc>
      </w:tr>
    </w:tbl>
    <w:p w14:paraId="2F650431" w14:textId="0CA807D0" w:rsidR="001657D5" w:rsidRDefault="00BC30B3" w:rsidP="001657D5">
      <w:pPr>
        <w:jc w:val="both"/>
        <w:rPr>
          <w:rFonts w:asciiTheme="majorHAnsi" w:hAnsiTheme="majorHAnsi" w:cstheme="majorHAnsi"/>
          <w:sz w:val="20"/>
          <w:szCs w:val="22"/>
        </w:rPr>
      </w:pPr>
      <w:r w:rsidRPr="00FC6D04">
        <w:rPr>
          <w:rFonts w:asciiTheme="majorHAnsi" w:hAnsiTheme="majorHAnsi" w:cstheme="majorHAnsi"/>
          <w:sz w:val="20"/>
          <w:szCs w:val="22"/>
        </w:rPr>
        <w:t>Fuente: Grupo Financiero BASE con información de INEGI.</w:t>
      </w:r>
    </w:p>
    <w:p w14:paraId="35D734C9" w14:textId="77777777" w:rsidR="0045395E" w:rsidRPr="0045395E" w:rsidRDefault="0045395E" w:rsidP="001657D5">
      <w:pPr>
        <w:jc w:val="both"/>
        <w:rPr>
          <w:rFonts w:asciiTheme="majorHAnsi" w:hAnsiTheme="majorHAnsi" w:cstheme="majorHAnsi"/>
          <w:b/>
          <w:sz w:val="10"/>
          <w:szCs w:val="10"/>
        </w:rPr>
      </w:pPr>
    </w:p>
    <w:p w14:paraId="285A76B7" w14:textId="52BE91EF" w:rsidR="00655B64" w:rsidRPr="0045395E" w:rsidRDefault="00655B64" w:rsidP="00655B64">
      <w:pPr>
        <w:pStyle w:val="Prrafodelista"/>
        <w:numPr>
          <w:ilvl w:val="0"/>
          <w:numId w:val="15"/>
        </w:numPr>
        <w:jc w:val="both"/>
        <w:rPr>
          <w:rFonts w:ascii="Calibri" w:eastAsia="Calibri" w:hAnsi="Calibri"/>
          <w:bCs/>
          <w:sz w:val="20"/>
          <w:szCs w:val="20"/>
          <w:lang w:val="es-MX"/>
        </w:rPr>
      </w:pPr>
      <w:r w:rsidRPr="00BA315C">
        <w:rPr>
          <w:rFonts w:ascii="Calibri" w:eastAsia="Calibri" w:hAnsi="Calibri"/>
          <w:b/>
          <w:lang w:val="es-MX"/>
        </w:rPr>
        <w:t>Genéricos de la inflación en México, variación quincenal</w:t>
      </w:r>
    </w:p>
    <w:p w14:paraId="24B48064" w14:textId="77777777" w:rsidR="0045395E" w:rsidRDefault="0045395E" w:rsidP="00E07B15">
      <w:pPr>
        <w:pStyle w:val="NormalWeb"/>
        <w:spacing w:before="0" w:beforeAutospacing="0" w:after="0" w:afterAutospacing="0"/>
        <w:jc w:val="both"/>
        <w:rPr>
          <w:rFonts w:asciiTheme="majorHAnsi" w:hAnsiTheme="majorHAnsi" w:cstheme="majorHAnsi"/>
          <w:sz w:val="20"/>
          <w:szCs w:val="20"/>
          <w:lang w:val="es-MX"/>
        </w:rPr>
      </w:pPr>
    </w:p>
    <w:p w14:paraId="0DC029EE" w14:textId="5537D8F3" w:rsidR="00CA1328" w:rsidRPr="00BA315C" w:rsidRDefault="00E07B15" w:rsidP="00E07B15">
      <w:pPr>
        <w:pStyle w:val="NormalWeb"/>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Al</w:t>
      </w:r>
      <w:r w:rsidRPr="00BA315C">
        <w:rPr>
          <w:rFonts w:asciiTheme="majorHAnsi" w:hAnsiTheme="majorHAnsi" w:cstheme="majorHAnsi"/>
          <w:b/>
          <w:bCs/>
          <w:sz w:val="20"/>
          <w:szCs w:val="20"/>
          <w:lang w:val="es-MX"/>
        </w:rPr>
        <w:t xml:space="preserve"> interior de la inflación subyacente</w:t>
      </w:r>
      <w:r w:rsidRPr="00BA315C">
        <w:rPr>
          <w:rFonts w:asciiTheme="majorHAnsi" w:hAnsiTheme="majorHAnsi" w:cstheme="majorHAnsi"/>
          <w:sz w:val="20"/>
          <w:szCs w:val="20"/>
          <w:lang w:val="es-MX"/>
        </w:rPr>
        <w:t xml:space="preserve"> y, con mayor especificación del componente de servicios</w:t>
      </w:r>
      <w:r w:rsidRPr="00BA315C">
        <w:rPr>
          <w:rStyle w:val="Refdenotaalpie"/>
          <w:rFonts w:asciiTheme="majorHAnsi" w:hAnsiTheme="majorHAnsi" w:cstheme="majorHAnsi"/>
          <w:sz w:val="20"/>
          <w:szCs w:val="20"/>
          <w:lang w:val="es-MX"/>
        </w:rPr>
        <w:footnoteReference w:id="1"/>
      </w:r>
      <w:r w:rsidRPr="00BA315C">
        <w:rPr>
          <w:rFonts w:asciiTheme="majorHAnsi" w:hAnsiTheme="majorHAnsi" w:cstheme="majorHAnsi"/>
          <w:sz w:val="20"/>
          <w:szCs w:val="20"/>
          <w:lang w:val="es-MX"/>
        </w:rPr>
        <w:t xml:space="preserve">, los </w:t>
      </w:r>
      <w:r w:rsidRPr="00BA315C">
        <w:rPr>
          <w:rFonts w:asciiTheme="majorHAnsi" w:hAnsiTheme="majorHAnsi" w:cstheme="majorHAnsi"/>
          <w:b/>
          <w:bCs/>
          <w:sz w:val="20"/>
          <w:szCs w:val="20"/>
          <w:lang w:val="es-MX"/>
        </w:rPr>
        <w:t xml:space="preserve">genéricos con mayor aumento y mayor caída en precios (quincenal) </w:t>
      </w:r>
      <w:r w:rsidRPr="00BA315C">
        <w:rPr>
          <w:rFonts w:asciiTheme="majorHAnsi" w:hAnsiTheme="majorHAnsi" w:cstheme="majorHAnsi"/>
          <w:sz w:val="20"/>
          <w:szCs w:val="20"/>
          <w:lang w:val="es-MX"/>
        </w:rPr>
        <w:t xml:space="preserve">en la primera quincena de </w:t>
      </w:r>
      <w:r w:rsidR="00BA315C" w:rsidRPr="00BA315C">
        <w:rPr>
          <w:rFonts w:asciiTheme="majorHAnsi" w:hAnsiTheme="majorHAnsi" w:cstheme="majorHAnsi"/>
          <w:sz w:val="20"/>
          <w:szCs w:val="20"/>
          <w:lang w:val="es-MX"/>
        </w:rPr>
        <w:t>diciembre</w:t>
      </w:r>
      <w:r w:rsidRPr="00BA315C">
        <w:rPr>
          <w:rFonts w:asciiTheme="majorHAnsi" w:hAnsiTheme="majorHAnsi" w:cstheme="majorHAnsi"/>
          <w:sz w:val="20"/>
          <w:szCs w:val="20"/>
          <w:lang w:val="es-MX"/>
        </w:rPr>
        <w:t xml:space="preserve"> fueron (Tabla 2): </w:t>
      </w:r>
    </w:p>
    <w:p w14:paraId="253F050C" w14:textId="25C2AB22" w:rsidR="00E07B15" w:rsidRPr="00BA315C" w:rsidRDefault="00E07B15" w:rsidP="00BA315C">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lastRenderedPageBreak/>
        <w:t>Mercancías:</w:t>
      </w:r>
    </w:p>
    <w:p w14:paraId="7DB16476" w14:textId="16A6BA67" w:rsidR="00E07B15" w:rsidRPr="00BA315C" w:rsidRDefault="00E07B15" w:rsidP="00BA315C">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 xml:space="preserve">Mayor aumento: 1) </w:t>
      </w:r>
      <w:r w:rsidR="00BA315C" w:rsidRPr="00BA315C">
        <w:rPr>
          <w:rFonts w:asciiTheme="majorHAnsi" w:hAnsiTheme="majorHAnsi" w:cstheme="majorHAnsi"/>
          <w:sz w:val="20"/>
          <w:szCs w:val="20"/>
          <w:lang w:val="es-MX"/>
        </w:rPr>
        <w:t>plantas y flores (+2.26%), 2) reproductores de audio (+0.92%), colchas (+0.84%).</w:t>
      </w:r>
    </w:p>
    <w:p w14:paraId="4B7EDAE4" w14:textId="7C783F62" w:rsidR="00BA315C" w:rsidRPr="00BA315C" w:rsidRDefault="00E07B15" w:rsidP="00BA315C">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 xml:space="preserve">Mayor caída: 1) </w:t>
      </w:r>
      <w:r w:rsidR="00BA315C" w:rsidRPr="00BA315C">
        <w:rPr>
          <w:rFonts w:asciiTheme="majorHAnsi" w:hAnsiTheme="majorHAnsi" w:cstheme="majorHAnsi"/>
          <w:sz w:val="20"/>
          <w:szCs w:val="20"/>
          <w:lang w:val="es-MX"/>
        </w:rPr>
        <w:t>consolas de videojuegos (-1.95%), 2) alimento para mascotas (-0.72%).</w:t>
      </w:r>
    </w:p>
    <w:p w14:paraId="48756240" w14:textId="6BEE17B7" w:rsidR="00E07B15" w:rsidRPr="00BA315C" w:rsidRDefault="00E07B15" w:rsidP="00BA315C">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Servicios:</w:t>
      </w:r>
    </w:p>
    <w:p w14:paraId="5A4714E7" w14:textId="6A9C8044" w:rsidR="00E07B15" w:rsidRPr="00BA315C" w:rsidRDefault="00E07B15" w:rsidP="00BA315C">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 xml:space="preserve">Mayor aumento: 1) </w:t>
      </w:r>
      <w:r w:rsidR="00BA315C" w:rsidRPr="00BA315C">
        <w:rPr>
          <w:rFonts w:asciiTheme="majorHAnsi" w:hAnsiTheme="majorHAnsi" w:cstheme="majorHAnsi"/>
          <w:sz w:val="20"/>
          <w:szCs w:val="20"/>
          <w:lang w:val="es-MX"/>
        </w:rPr>
        <w:t>transporte aéreo (+38.47%), 2) servicios turísticos en paquete (+12.86%) y 3) servicios de televisión de paga (+2.01%).</w:t>
      </w:r>
    </w:p>
    <w:p w14:paraId="73F9D215" w14:textId="2BB69BCA" w:rsidR="00E07B15" w:rsidRPr="00BA315C" w:rsidRDefault="00E07B15" w:rsidP="00BA315C">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A315C">
        <w:rPr>
          <w:rFonts w:asciiTheme="majorHAnsi" w:hAnsiTheme="majorHAnsi" w:cstheme="majorHAnsi"/>
          <w:sz w:val="20"/>
          <w:szCs w:val="20"/>
          <w:lang w:val="es-MX"/>
        </w:rPr>
        <w:t xml:space="preserve">Mayor caída: 1) </w:t>
      </w:r>
      <w:proofErr w:type="spellStart"/>
      <w:r w:rsidR="00BA315C" w:rsidRPr="00BA315C">
        <w:rPr>
          <w:rFonts w:asciiTheme="majorHAnsi" w:hAnsiTheme="majorHAnsi" w:cstheme="majorHAnsi"/>
          <w:sz w:val="20"/>
          <w:szCs w:val="20"/>
          <w:lang w:val="es-MX"/>
        </w:rPr>
        <w:t>streaming</w:t>
      </w:r>
      <w:proofErr w:type="spellEnd"/>
      <w:r w:rsidR="00BA315C" w:rsidRPr="00BA315C">
        <w:rPr>
          <w:rFonts w:asciiTheme="majorHAnsi" w:hAnsiTheme="majorHAnsi" w:cstheme="majorHAnsi"/>
          <w:sz w:val="20"/>
          <w:szCs w:val="20"/>
          <w:lang w:val="es-MX"/>
        </w:rPr>
        <w:t xml:space="preserve"> de películas y música (-0.28%), 2) paquetes de internet (-0.23%) y 3) seguro de automóvil (-0.10%).</w:t>
      </w:r>
    </w:p>
    <w:p w14:paraId="6478D2D0" w14:textId="77777777" w:rsidR="00E07B15" w:rsidRPr="00451660" w:rsidRDefault="00E07B15" w:rsidP="00655B64">
      <w:pPr>
        <w:pStyle w:val="NormalWeb"/>
        <w:spacing w:before="0" w:beforeAutospacing="0" w:after="0" w:afterAutospacing="0"/>
        <w:jc w:val="both"/>
        <w:rPr>
          <w:rFonts w:asciiTheme="majorHAnsi" w:hAnsiTheme="majorHAnsi" w:cstheme="majorHAnsi"/>
          <w:b/>
          <w:bCs/>
          <w:sz w:val="20"/>
          <w:szCs w:val="20"/>
          <w:lang w:val="es-MX"/>
        </w:rPr>
      </w:pPr>
    </w:p>
    <w:p w14:paraId="1D9554BE" w14:textId="4A376062" w:rsidR="00CC188F" w:rsidRPr="00451660" w:rsidRDefault="00655B64" w:rsidP="00655B64">
      <w:pPr>
        <w:pStyle w:val="NormalWeb"/>
        <w:spacing w:before="0" w:beforeAutospacing="0" w:after="0" w:afterAutospacing="0"/>
        <w:jc w:val="both"/>
        <w:rPr>
          <w:rFonts w:asciiTheme="majorHAnsi" w:hAnsiTheme="majorHAnsi" w:cstheme="majorHAnsi"/>
          <w:sz w:val="20"/>
          <w:szCs w:val="20"/>
          <w:lang w:val="es-MX"/>
        </w:rPr>
      </w:pPr>
      <w:r w:rsidRPr="00451660">
        <w:rPr>
          <w:rFonts w:asciiTheme="majorHAnsi" w:hAnsiTheme="majorHAnsi" w:cstheme="majorHAnsi"/>
          <w:b/>
          <w:bCs/>
          <w:sz w:val="20"/>
          <w:szCs w:val="20"/>
          <w:lang w:val="es-MX"/>
        </w:rPr>
        <w:t xml:space="preserve">Al interior de la inflación no subyacente, los genéricos con mayor aumento y mayor caída en precios (quincenal) </w:t>
      </w:r>
      <w:r w:rsidRPr="00451660">
        <w:rPr>
          <w:rFonts w:asciiTheme="majorHAnsi" w:hAnsiTheme="majorHAnsi" w:cstheme="majorHAnsi"/>
          <w:sz w:val="20"/>
          <w:szCs w:val="20"/>
          <w:lang w:val="es-MX"/>
        </w:rPr>
        <w:t xml:space="preserve">en la primera quincena de </w:t>
      </w:r>
      <w:r w:rsidR="00BA315C" w:rsidRPr="00451660">
        <w:rPr>
          <w:rFonts w:asciiTheme="majorHAnsi" w:hAnsiTheme="majorHAnsi" w:cstheme="majorHAnsi"/>
          <w:sz w:val="20"/>
          <w:szCs w:val="20"/>
          <w:lang w:val="es-MX"/>
        </w:rPr>
        <w:t>diciembre</w:t>
      </w:r>
      <w:r w:rsidRPr="00451660">
        <w:rPr>
          <w:rFonts w:asciiTheme="majorHAnsi" w:hAnsiTheme="majorHAnsi" w:cstheme="majorHAnsi"/>
          <w:sz w:val="20"/>
          <w:szCs w:val="20"/>
          <w:lang w:val="es-MX"/>
        </w:rPr>
        <w:t xml:space="preserve"> fueron (Tabla </w:t>
      </w:r>
      <w:r w:rsidR="00E07B15" w:rsidRPr="00451660">
        <w:rPr>
          <w:rFonts w:asciiTheme="majorHAnsi" w:hAnsiTheme="majorHAnsi" w:cstheme="majorHAnsi"/>
          <w:sz w:val="20"/>
          <w:szCs w:val="20"/>
          <w:lang w:val="es-MX"/>
        </w:rPr>
        <w:t>3</w:t>
      </w:r>
      <w:r w:rsidRPr="00451660">
        <w:rPr>
          <w:rFonts w:asciiTheme="majorHAnsi" w:hAnsiTheme="majorHAnsi" w:cstheme="majorHAnsi"/>
          <w:sz w:val="20"/>
          <w:szCs w:val="20"/>
          <w:lang w:val="es-MX"/>
        </w:rPr>
        <w:t xml:space="preserve">): </w:t>
      </w:r>
    </w:p>
    <w:p w14:paraId="384D2549" w14:textId="77777777" w:rsidR="00CA1328" w:rsidRPr="00B558FB" w:rsidRDefault="00CA1328" w:rsidP="00655B64">
      <w:pPr>
        <w:pStyle w:val="NormalWeb"/>
        <w:spacing w:before="0" w:beforeAutospacing="0" w:after="0" w:afterAutospacing="0"/>
        <w:jc w:val="both"/>
        <w:rPr>
          <w:rFonts w:asciiTheme="majorHAnsi" w:hAnsiTheme="majorHAnsi" w:cstheme="majorHAnsi"/>
          <w:sz w:val="20"/>
          <w:szCs w:val="20"/>
          <w:lang w:val="es-MX"/>
        </w:rPr>
      </w:pPr>
    </w:p>
    <w:p w14:paraId="04C86BFC" w14:textId="77777777" w:rsidR="00655B64" w:rsidRPr="00B558FB" w:rsidRDefault="00655B64" w:rsidP="00655B64">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Frutas y verduras:</w:t>
      </w:r>
    </w:p>
    <w:p w14:paraId="17E363F6" w14:textId="17A581F4"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aumento: 1) </w:t>
      </w:r>
      <w:r w:rsidR="00F44777" w:rsidRPr="00B558FB">
        <w:rPr>
          <w:rFonts w:asciiTheme="majorHAnsi" w:hAnsiTheme="majorHAnsi" w:cstheme="majorHAnsi"/>
          <w:sz w:val="20"/>
          <w:szCs w:val="20"/>
          <w:lang w:val="es-MX"/>
        </w:rPr>
        <w:t>calabacita (+13.78%), 2) sandía (+13.28%) y 3) uva (11.21%).</w:t>
      </w:r>
    </w:p>
    <w:p w14:paraId="097E9DCD" w14:textId="131344D0"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caída: 1) </w:t>
      </w:r>
      <w:r w:rsidR="00F44777" w:rsidRPr="00B558FB">
        <w:rPr>
          <w:rFonts w:asciiTheme="majorHAnsi" w:hAnsiTheme="majorHAnsi" w:cstheme="majorHAnsi"/>
          <w:sz w:val="20"/>
          <w:szCs w:val="20"/>
          <w:lang w:val="es-MX"/>
        </w:rPr>
        <w:t xml:space="preserve">papaya (-18.56%), 2) tomate verde (-8.59%) y 3) chile serrano (-8.46%). </w:t>
      </w:r>
    </w:p>
    <w:p w14:paraId="5978753F" w14:textId="77777777" w:rsidR="00655B64" w:rsidRPr="00B558FB" w:rsidRDefault="00655B64" w:rsidP="00655B64">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Pecuarios:</w:t>
      </w:r>
    </w:p>
    <w:p w14:paraId="7D36DF6E" w14:textId="50F52F76"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aumento: 1) </w:t>
      </w:r>
      <w:r w:rsidR="00451660" w:rsidRPr="00B558FB">
        <w:rPr>
          <w:rFonts w:asciiTheme="majorHAnsi" w:hAnsiTheme="majorHAnsi" w:cstheme="majorHAnsi"/>
          <w:sz w:val="20"/>
          <w:szCs w:val="20"/>
          <w:lang w:val="es-MX"/>
        </w:rPr>
        <w:t>pollo (+1.18%), 2) carne de res (+0.77%) y 3) carne de cerdo (+0.53%).</w:t>
      </w:r>
    </w:p>
    <w:p w14:paraId="3D266E3B" w14:textId="5F838E70"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Mayor caída:</w:t>
      </w:r>
      <w:r w:rsidR="00451660" w:rsidRPr="00B558FB">
        <w:rPr>
          <w:rFonts w:asciiTheme="majorHAnsi" w:hAnsiTheme="majorHAnsi" w:cstheme="majorHAnsi"/>
          <w:sz w:val="20"/>
          <w:szCs w:val="20"/>
          <w:lang w:val="es-MX"/>
        </w:rPr>
        <w:t xml:space="preserve"> 1) huevo (-0.72%), 2) camarón (-0.38%) y 3) manteca de cerdo (-0.06%). </w:t>
      </w:r>
    </w:p>
    <w:p w14:paraId="065F9D3C" w14:textId="77777777" w:rsidR="00655B64" w:rsidRPr="00B558FB" w:rsidRDefault="00655B64" w:rsidP="00655B64">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Energéticos:</w:t>
      </w:r>
    </w:p>
    <w:p w14:paraId="1D1FCB6F" w14:textId="051A9B6C"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aumento: </w:t>
      </w:r>
      <w:r w:rsidR="00DD5638" w:rsidRPr="00B558FB">
        <w:rPr>
          <w:rFonts w:asciiTheme="majorHAnsi" w:hAnsiTheme="majorHAnsi" w:cstheme="majorHAnsi"/>
          <w:sz w:val="20"/>
          <w:szCs w:val="20"/>
          <w:lang w:val="es-MX"/>
        </w:rPr>
        <w:t xml:space="preserve">1) </w:t>
      </w:r>
      <w:r w:rsidR="009408B7" w:rsidRPr="00B558FB">
        <w:rPr>
          <w:rFonts w:asciiTheme="majorHAnsi" w:hAnsiTheme="majorHAnsi" w:cstheme="majorHAnsi"/>
          <w:sz w:val="20"/>
          <w:szCs w:val="20"/>
          <w:lang w:val="es-MX"/>
        </w:rPr>
        <w:t>gas doméstico LP (+0.59%), 2) gasolina de alto octanaje (+0.07) y 3) gasolina de bajo octanaje (+0.04%).</w:t>
      </w:r>
    </w:p>
    <w:p w14:paraId="67CC237C" w14:textId="0F96D353" w:rsidR="00655B64" w:rsidRPr="00B558FB" w:rsidRDefault="00655B64" w:rsidP="00655B64">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caída: 1) </w:t>
      </w:r>
      <w:r w:rsidR="009408B7" w:rsidRPr="00B558FB">
        <w:rPr>
          <w:rFonts w:asciiTheme="majorHAnsi" w:hAnsiTheme="majorHAnsi" w:cstheme="majorHAnsi"/>
          <w:sz w:val="20"/>
          <w:szCs w:val="20"/>
          <w:lang w:val="es-MX"/>
        </w:rPr>
        <w:t xml:space="preserve">electricidad (-0.05%). </w:t>
      </w:r>
    </w:p>
    <w:p w14:paraId="486ACC71" w14:textId="52295367" w:rsidR="00DD5638" w:rsidRPr="00B558FB" w:rsidRDefault="00DD5638" w:rsidP="00DD5638">
      <w:pPr>
        <w:pStyle w:val="NormalWeb"/>
        <w:numPr>
          <w:ilvl w:val="0"/>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Tarifas autorizadas por el gobierno:</w:t>
      </w:r>
    </w:p>
    <w:p w14:paraId="4431EC15" w14:textId="692FE5E6" w:rsidR="00DD5638" w:rsidRPr="00B558FB" w:rsidRDefault="00DD5638" w:rsidP="00DD5638">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aumento: 1) </w:t>
      </w:r>
      <w:r w:rsidR="00B558FB" w:rsidRPr="00B558FB">
        <w:rPr>
          <w:rFonts w:asciiTheme="majorHAnsi" w:hAnsiTheme="majorHAnsi" w:cstheme="majorHAnsi"/>
          <w:sz w:val="20"/>
          <w:szCs w:val="20"/>
          <w:lang w:val="es-MX"/>
        </w:rPr>
        <w:t xml:space="preserve">taxi (+1.49%), 2) trámites vehiculares (+0.49%) y 3) expedición de documentos del sector público (+0.37%). </w:t>
      </w:r>
      <w:r w:rsidR="004B40B7" w:rsidRPr="00B558FB">
        <w:rPr>
          <w:rFonts w:asciiTheme="majorHAnsi" w:hAnsiTheme="majorHAnsi" w:cstheme="majorHAnsi"/>
          <w:sz w:val="20"/>
          <w:szCs w:val="20"/>
          <w:lang w:val="es-MX"/>
        </w:rPr>
        <w:t xml:space="preserve"> </w:t>
      </w:r>
    </w:p>
    <w:p w14:paraId="31B7B3BB" w14:textId="62A4F9D2" w:rsidR="00655B64" w:rsidRPr="00B558FB" w:rsidRDefault="00DD5638" w:rsidP="00D9340E">
      <w:pPr>
        <w:pStyle w:val="NormalWeb"/>
        <w:numPr>
          <w:ilvl w:val="1"/>
          <w:numId w:val="20"/>
        </w:numPr>
        <w:spacing w:before="0" w:beforeAutospacing="0" w:after="0" w:afterAutospacing="0"/>
        <w:jc w:val="both"/>
        <w:rPr>
          <w:rFonts w:asciiTheme="majorHAnsi" w:hAnsiTheme="majorHAnsi" w:cstheme="majorHAnsi"/>
          <w:sz w:val="20"/>
          <w:szCs w:val="20"/>
          <w:lang w:val="es-MX"/>
        </w:rPr>
      </w:pPr>
      <w:r w:rsidRPr="00B558FB">
        <w:rPr>
          <w:rFonts w:asciiTheme="majorHAnsi" w:hAnsiTheme="majorHAnsi" w:cstheme="majorHAnsi"/>
          <w:sz w:val="20"/>
          <w:szCs w:val="20"/>
          <w:lang w:val="es-MX"/>
        </w:rPr>
        <w:t xml:space="preserve">Mayor caída: </w:t>
      </w:r>
      <w:r w:rsidR="00B558FB" w:rsidRPr="00B558FB">
        <w:rPr>
          <w:rFonts w:asciiTheme="majorHAnsi" w:hAnsiTheme="majorHAnsi" w:cstheme="majorHAnsi"/>
          <w:sz w:val="20"/>
          <w:szCs w:val="20"/>
          <w:lang w:val="es-MX"/>
        </w:rPr>
        <w:t>N/A</w:t>
      </w:r>
    </w:p>
    <w:p w14:paraId="127416C3" w14:textId="5A8ABBD1" w:rsidR="00BA315C" w:rsidRDefault="00BA315C">
      <w:pPr>
        <w:rPr>
          <w:rFonts w:asciiTheme="majorHAnsi" w:hAnsiTheme="majorHAnsi" w:cstheme="majorHAnsi"/>
          <w:b/>
          <w:sz w:val="20"/>
          <w:szCs w:val="22"/>
        </w:rPr>
      </w:pPr>
    </w:p>
    <w:p w14:paraId="02DF8DF4" w14:textId="2C2494FA" w:rsidR="00C741BC" w:rsidRPr="00FC6D04" w:rsidRDefault="00C741BC" w:rsidP="00C741BC">
      <w:pPr>
        <w:jc w:val="both"/>
        <w:rPr>
          <w:rFonts w:asciiTheme="majorHAnsi" w:hAnsiTheme="majorHAnsi" w:cstheme="majorHAnsi"/>
          <w:sz w:val="20"/>
          <w:szCs w:val="22"/>
        </w:rPr>
      </w:pPr>
      <w:r w:rsidRPr="00FC6D04">
        <w:rPr>
          <w:rFonts w:asciiTheme="majorHAnsi" w:hAnsiTheme="majorHAnsi" w:cstheme="majorHAnsi"/>
          <w:b/>
          <w:sz w:val="20"/>
          <w:szCs w:val="22"/>
        </w:rPr>
        <w:t xml:space="preserve">Tabla </w:t>
      </w:r>
      <w:r>
        <w:rPr>
          <w:rFonts w:asciiTheme="majorHAnsi" w:hAnsiTheme="majorHAnsi" w:cstheme="majorHAnsi"/>
          <w:b/>
          <w:sz w:val="20"/>
          <w:szCs w:val="22"/>
        </w:rPr>
        <w:t>2</w:t>
      </w:r>
      <w:r w:rsidRPr="00FC6D04">
        <w:rPr>
          <w:rFonts w:asciiTheme="majorHAnsi" w:hAnsiTheme="majorHAnsi" w:cstheme="majorHAnsi"/>
          <w:b/>
          <w:sz w:val="20"/>
          <w:szCs w:val="22"/>
        </w:rPr>
        <w:t xml:space="preserve">. </w:t>
      </w:r>
      <w:r w:rsidRPr="00FC6D04">
        <w:rPr>
          <w:rFonts w:asciiTheme="majorHAnsi" w:hAnsiTheme="majorHAnsi" w:cstheme="majorHAnsi"/>
          <w:sz w:val="20"/>
          <w:szCs w:val="22"/>
        </w:rPr>
        <w:t>Genéricos con la mayor y menor variación quincenal, componente subyacente.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3118"/>
        <w:gridCol w:w="1135"/>
        <w:gridCol w:w="3006"/>
        <w:gridCol w:w="1126"/>
      </w:tblGrid>
      <w:tr w:rsidR="00C741BC" w:rsidRPr="00FC6D04" w14:paraId="0D1148B5" w14:textId="77777777" w:rsidTr="00F467AF">
        <w:trPr>
          <w:trHeight w:val="20"/>
        </w:trPr>
        <w:tc>
          <w:tcPr>
            <w:tcW w:w="458" w:type="pct"/>
            <w:shd w:val="clear" w:color="auto" w:fill="FFDB69"/>
            <w:noWrap/>
            <w:tcMar>
              <w:top w:w="15" w:type="dxa"/>
              <w:left w:w="15" w:type="dxa"/>
              <w:bottom w:w="0" w:type="dxa"/>
              <w:right w:w="15" w:type="dxa"/>
            </w:tcMar>
            <w:vAlign w:val="center"/>
            <w:hideMark/>
          </w:tcPr>
          <w:p w14:paraId="555580A3" w14:textId="77B5C987" w:rsidR="00C741BC" w:rsidRPr="00FC6D04" w:rsidRDefault="00C741BC" w:rsidP="00F82CBA">
            <w:pPr>
              <w:jc w:val="center"/>
              <w:rPr>
                <w:rFonts w:asciiTheme="majorHAnsi" w:hAnsiTheme="majorHAnsi" w:cstheme="majorHAnsi"/>
                <w:b/>
                <w:bCs/>
                <w:sz w:val="12"/>
                <w:szCs w:val="12"/>
              </w:rPr>
            </w:pPr>
            <w:r w:rsidRPr="00FC6D04">
              <w:rPr>
                <w:rFonts w:asciiTheme="majorHAnsi" w:hAnsiTheme="majorHAnsi" w:cstheme="majorHAnsi"/>
                <w:b/>
                <w:bCs/>
                <w:sz w:val="12"/>
                <w:szCs w:val="12"/>
                <w:lang w:eastAsia="es-MX"/>
              </w:rPr>
              <w:t xml:space="preserve">1q </w:t>
            </w:r>
            <w:r w:rsidR="00D21593">
              <w:rPr>
                <w:rFonts w:asciiTheme="majorHAnsi" w:hAnsiTheme="majorHAnsi" w:cstheme="majorHAnsi"/>
                <w:b/>
                <w:bCs/>
                <w:sz w:val="12"/>
                <w:szCs w:val="12"/>
                <w:lang w:eastAsia="es-MX"/>
              </w:rPr>
              <w:t>dic</w:t>
            </w:r>
            <w:r w:rsidRPr="00FC6D04">
              <w:rPr>
                <w:rFonts w:asciiTheme="majorHAnsi" w:hAnsiTheme="majorHAnsi" w:cstheme="majorHAnsi"/>
                <w:b/>
                <w:bCs/>
                <w:sz w:val="12"/>
                <w:szCs w:val="12"/>
                <w:lang w:eastAsia="es-MX"/>
              </w:rPr>
              <w:t xml:space="preserve"> 2024</w:t>
            </w:r>
          </w:p>
        </w:tc>
        <w:tc>
          <w:tcPr>
            <w:tcW w:w="1689" w:type="pct"/>
            <w:shd w:val="clear" w:color="auto" w:fill="FFDB69"/>
            <w:noWrap/>
            <w:tcMar>
              <w:top w:w="15" w:type="dxa"/>
              <w:left w:w="15" w:type="dxa"/>
              <w:bottom w:w="0" w:type="dxa"/>
              <w:right w:w="15" w:type="dxa"/>
            </w:tcMar>
            <w:vAlign w:val="center"/>
            <w:hideMark/>
          </w:tcPr>
          <w:p w14:paraId="4C34D37E" w14:textId="77777777" w:rsidR="00C741BC" w:rsidRPr="00FC6D04" w:rsidRDefault="00C741BC" w:rsidP="00F82CBA">
            <w:pPr>
              <w:jc w:val="center"/>
              <w:rPr>
                <w:rFonts w:asciiTheme="majorHAnsi" w:hAnsiTheme="majorHAnsi" w:cstheme="majorHAnsi"/>
                <w:b/>
                <w:bCs/>
                <w:sz w:val="12"/>
                <w:szCs w:val="12"/>
              </w:rPr>
            </w:pPr>
            <w:r w:rsidRPr="00FC6D04">
              <w:rPr>
                <w:rFonts w:asciiTheme="majorHAnsi" w:hAnsiTheme="majorHAnsi" w:cstheme="majorHAnsi"/>
                <w:b/>
                <w:bCs/>
                <w:sz w:val="12"/>
                <w:szCs w:val="12"/>
              </w:rPr>
              <w:t>Mercancías</w:t>
            </w:r>
          </w:p>
        </w:tc>
        <w:tc>
          <w:tcPr>
            <w:tcW w:w="615" w:type="pct"/>
            <w:shd w:val="clear" w:color="auto" w:fill="FFDB69"/>
            <w:noWrap/>
            <w:tcMar>
              <w:top w:w="15" w:type="dxa"/>
              <w:left w:w="15" w:type="dxa"/>
              <w:bottom w:w="0" w:type="dxa"/>
              <w:right w:w="15" w:type="dxa"/>
            </w:tcMar>
            <w:vAlign w:val="center"/>
            <w:hideMark/>
          </w:tcPr>
          <w:p w14:paraId="21A2774B" w14:textId="77777777" w:rsidR="00C741BC" w:rsidRPr="00FC6D04" w:rsidRDefault="00C741BC" w:rsidP="00F82CBA">
            <w:pPr>
              <w:jc w:val="center"/>
              <w:rPr>
                <w:rFonts w:asciiTheme="majorHAnsi" w:hAnsiTheme="majorHAnsi" w:cstheme="majorHAnsi"/>
                <w:b/>
                <w:bCs/>
                <w:sz w:val="12"/>
                <w:szCs w:val="12"/>
              </w:rPr>
            </w:pPr>
            <w:r w:rsidRPr="00FC6D04">
              <w:rPr>
                <w:rFonts w:asciiTheme="majorHAnsi" w:hAnsiTheme="majorHAnsi" w:cstheme="majorHAnsi"/>
                <w:b/>
                <w:bCs/>
                <w:sz w:val="12"/>
                <w:szCs w:val="12"/>
              </w:rPr>
              <w:t>Variación quincenal</w:t>
            </w:r>
          </w:p>
        </w:tc>
        <w:tc>
          <w:tcPr>
            <w:tcW w:w="1628" w:type="pct"/>
            <w:shd w:val="clear" w:color="auto" w:fill="FFDB69"/>
            <w:noWrap/>
            <w:tcMar>
              <w:top w:w="15" w:type="dxa"/>
              <w:left w:w="15" w:type="dxa"/>
              <w:bottom w:w="0" w:type="dxa"/>
              <w:right w:w="15" w:type="dxa"/>
            </w:tcMar>
            <w:vAlign w:val="center"/>
            <w:hideMark/>
          </w:tcPr>
          <w:p w14:paraId="70C74F03" w14:textId="77777777" w:rsidR="00C741BC" w:rsidRPr="00FC6D04" w:rsidRDefault="00C741BC" w:rsidP="00F82CBA">
            <w:pPr>
              <w:jc w:val="center"/>
              <w:rPr>
                <w:rFonts w:asciiTheme="majorHAnsi" w:hAnsiTheme="majorHAnsi" w:cstheme="majorHAnsi"/>
                <w:b/>
                <w:bCs/>
                <w:sz w:val="12"/>
                <w:szCs w:val="12"/>
              </w:rPr>
            </w:pPr>
            <w:r w:rsidRPr="00FC6D04">
              <w:rPr>
                <w:rFonts w:asciiTheme="majorHAnsi" w:hAnsiTheme="majorHAnsi" w:cstheme="majorHAnsi"/>
                <w:b/>
                <w:bCs/>
                <w:sz w:val="12"/>
                <w:szCs w:val="12"/>
              </w:rPr>
              <w:t>Servicios</w:t>
            </w:r>
          </w:p>
        </w:tc>
        <w:tc>
          <w:tcPr>
            <w:tcW w:w="610" w:type="pct"/>
            <w:shd w:val="clear" w:color="auto" w:fill="FFDB69"/>
            <w:noWrap/>
            <w:tcMar>
              <w:top w:w="15" w:type="dxa"/>
              <w:left w:w="15" w:type="dxa"/>
              <w:bottom w:w="0" w:type="dxa"/>
              <w:right w:w="15" w:type="dxa"/>
            </w:tcMar>
            <w:vAlign w:val="center"/>
            <w:hideMark/>
          </w:tcPr>
          <w:p w14:paraId="292F0CF8" w14:textId="77777777" w:rsidR="00C741BC" w:rsidRPr="00FC6D04" w:rsidRDefault="00C741BC" w:rsidP="00F82CBA">
            <w:pPr>
              <w:jc w:val="center"/>
              <w:rPr>
                <w:rFonts w:asciiTheme="majorHAnsi" w:hAnsiTheme="majorHAnsi" w:cstheme="majorHAnsi"/>
                <w:b/>
                <w:bCs/>
                <w:sz w:val="12"/>
                <w:szCs w:val="12"/>
              </w:rPr>
            </w:pPr>
            <w:r w:rsidRPr="00FC6D04">
              <w:rPr>
                <w:rFonts w:asciiTheme="majorHAnsi" w:hAnsiTheme="majorHAnsi" w:cstheme="majorHAnsi"/>
                <w:b/>
                <w:bCs/>
                <w:sz w:val="12"/>
                <w:szCs w:val="12"/>
              </w:rPr>
              <w:t>Variación quincenal</w:t>
            </w:r>
          </w:p>
        </w:tc>
      </w:tr>
      <w:tr w:rsidR="00F467AF" w:rsidRPr="00FC6D04" w14:paraId="53D3F6A6" w14:textId="77777777" w:rsidTr="00F467AF">
        <w:trPr>
          <w:trHeight w:val="20"/>
        </w:trPr>
        <w:tc>
          <w:tcPr>
            <w:tcW w:w="458" w:type="pct"/>
            <w:vMerge w:val="restart"/>
            <w:shd w:val="clear" w:color="auto" w:fill="auto"/>
            <w:tcMar>
              <w:top w:w="15" w:type="dxa"/>
              <w:left w:w="15" w:type="dxa"/>
              <w:bottom w:w="0" w:type="dxa"/>
              <w:right w:w="15" w:type="dxa"/>
            </w:tcMar>
            <w:vAlign w:val="center"/>
            <w:hideMark/>
          </w:tcPr>
          <w:p w14:paraId="6B1F0D96" w14:textId="165833E3" w:rsidR="00F467AF" w:rsidRPr="00FC6D04" w:rsidRDefault="006534A4" w:rsidP="00F467AF">
            <w:pPr>
              <w:jc w:val="center"/>
              <w:rPr>
                <w:rFonts w:asciiTheme="majorHAnsi" w:hAnsiTheme="majorHAnsi" w:cstheme="majorHAnsi"/>
                <w:color w:val="000000"/>
                <w:sz w:val="12"/>
                <w:szCs w:val="12"/>
              </w:rPr>
            </w:pPr>
            <w:r>
              <w:rPr>
                <w:rFonts w:asciiTheme="majorHAnsi" w:hAnsiTheme="majorHAnsi" w:cstheme="majorHAnsi"/>
                <w:color w:val="000000"/>
                <w:sz w:val="12"/>
                <w:szCs w:val="12"/>
              </w:rPr>
              <w:t>G</w:t>
            </w:r>
            <w:r w:rsidR="00F467AF" w:rsidRPr="00FC6D04">
              <w:rPr>
                <w:rFonts w:asciiTheme="majorHAnsi" w:hAnsiTheme="majorHAnsi" w:cstheme="majorHAnsi"/>
                <w:color w:val="000000"/>
                <w:sz w:val="12"/>
                <w:szCs w:val="12"/>
              </w:rPr>
              <w:t>enéricos con mayor incremento</w:t>
            </w:r>
          </w:p>
        </w:tc>
        <w:tc>
          <w:tcPr>
            <w:tcW w:w="1689" w:type="pct"/>
            <w:shd w:val="clear" w:color="auto" w:fill="auto"/>
            <w:noWrap/>
            <w:tcMar>
              <w:top w:w="15" w:type="dxa"/>
              <w:left w:w="15" w:type="dxa"/>
              <w:bottom w:w="0" w:type="dxa"/>
              <w:right w:w="15" w:type="dxa"/>
            </w:tcMar>
            <w:vAlign w:val="bottom"/>
            <w:hideMark/>
          </w:tcPr>
          <w:p w14:paraId="2159186C" w14:textId="0936501B"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Plantas y flores</w:t>
            </w:r>
          </w:p>
        </w:tc>
        <w:tc>
          <w:tcPr>
            <w:tcW w:w="615" w:type="pct"/>
            <w:shd w:val="clear" w:color="auto" w:fill="auto"/>
            <w:noWrap/>
            <w:tcMar>
              <w:top w:w="15" w:type="dxa"/>
              <w:left w:w="15" w:type="dxa"/>
              <w:bottom w:w="0" w:type="dxa"/>
              <w:right w:w="15" w:type="dxa"/>
            </w:tcMar>
            <w:vAlign w:val="bottom"/>
            <w:hideMark/>
          </w:tcPr>
          <w:p w14:paraId="720AB47C" w14:textId="70531FAA"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2.26%</w:t>
            </w:r>
          </w:p>
        </w:tc>
        <w:tc>
          <w:tcPr>
            <w:tcW w:w="1628" w:type="pct"/>
            <w:shd w:val="clear" w:color="auto" w:fill="auto"/>
            <w:noWrap/>
            <w:tcMar>
              <w:top w:w="15" w:type="dxa"/>
              <w:left w:w="15" w:type="dxa"/>
              <w:bottom w:w="0" w:type="dxa"/>
              <w:right w:w="15" w:type="dxa"/>
            </w:tcMar>
            <w:vAlign w:val="bottom"/>
            <w:hideMark/>
          </w:tcPr>
          <w:p w14:paraId="1FBADD4E" w14:textId="5C7EEF9A"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Transporte aéreo</w:t>
            </w:r>
          </w:p>
        </w:tc>
        <w:tc>
          <w:tcPr>
            <w:tcW w:w="610" w:type="pct"/>
            <w:shd w:val="clear" w:color="auto" w:fill="auto"/>
            <w:noWrap/>
            <w:tcMar>
              <w:top w:w="15" w:type="dxa"/>
              <w:left w:w="15" w:type="dxa"/>
              <w:bottom w:w="0" w:type="dxa"/>
              <w:right w:w="15" w:type="dxa"/>
            </w:tcMar>
            <w:vAlign w:val="bottom"/>
            <w:hideMark/>
          </w:tcPr>
          <w:p w14:paraId="5EC8AE4F" w14:textId="73E74C2A"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38.47%</w:t>
            </w:r>
          </w:p>
        </w:tc>
      </w:tr>
      <w:tr w:rsidR="00F467AF" w:rsidRPr="00FC6D04" w14:paraId="22F40CEF" w14:textId="77777777" w:rsidTr="00F467AF">
        <w:trPr>
          <w:trHeight w:val="20"/>
        </w:trPr>
        <w:tc>
          <w:tcPr>
            <w:tcW w:w="458" w:type="pct"/>
            <w:vMerge/>
            <w:vAlign w:val="center"/>
            <w:hideMark/>
          </w:tcPr>
          <w:p w14:paraId="05AA1201"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68815FB7" w14:textId="4189FE9F"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Reproductores de audio y video, y sus accesorios</w:t>
            </w:r>
          </w:p>
        </w:tc>
        <w:tc>
          <w:tcPr>
            <w:tcW w:w="615" w:type="pct"/>
            <w:shd w:val="clear" w:color="auto" w:fill="auto"/>
            <w:noWrap/>
            <w:tcMar>
              <w:top w:w="15" w:type="dxa"/>
              <w:left w:w="15" w:type="dxa"/>
              <w:bottom w:w="0" w:type="dxa"/>
              <w:right w:w="15" w:type="dxa"/>
            </w:tcMar>
            <w:vAlign w:val="bottom"/>
            <w:hideMark/>
          </w:tcPr>
          <w:p w14:paraId="4641E7E4" w14:textId="436D30D0"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0.92%</w:t>
            </w:r>
          </w:p>
        </w:tc>
        <w:tc>
          <w:tcPr>
            <w:tcW w:w="1628" w:type="pct"/>
            <w:shd w:val="clear" w:color="auto" w:fill="auto"/>
            <w:noWrap/>
            <w:tcMar>
              <w:top w:w="15" w:type="dxa"/>
              <w:left w:w="15" w:type="dxa"/>
              <w:bottom w:w="0" w:type="dxa"/>
              <w:right w:w="15" w:type="dxa"/>
            </w:tcMar>
            <w:vAlign w:val="bottom"/>
            <w:hideMark/>
          </w:tcPr>
          <w:p w14:paraId="6969EBB2" w14:textId="5F64A933"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Servicios turísticos en paquete</w:t>
            </w:r>
          </w:p>
        </w:tc>
        <w:tc>
          <w:tcPr>
            <w:tcW w:w="610" w:type="pct"/>
            <w:shd w:val="clear" w:color="auto" w:fill="auto"/>
            <w:noWrap/>
            <w:tcMar>
              <w:top w:w="15" w:type="dxa"/>
              <w:left w:w="15" w:type="dxa"/>
              <w:bottom w:w="0" w:type="dxa"/>
              <w:right w:w="15" w:type="dxa"/>
            </w:tcMar>
            <w:vAlign w:val="bottom"/>
            <w:hideMark/>
          </w:tcPr>
          <w:p w14:paraId="1F83EBA6" w14:textId="4F35C376"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12.86%</w:t>
            </w:r>
          </w:p>
        </w:tc>
      </w:tr>
      <w:tr w:rsidR="00F467AF" w:rsidRPr="00FC6D04" w14:paraId="181A33AF" w14:textId="77777777" w:rsidTr="00F467AF">
        <w:trPr>
          <w:trHeight w:val="20"/>
        </w:trPr>
        <w:tc>
          <w:tcPr>
            <w:tcW w:w="458" w:type="pct"/>
            <w:vMerge/>
            <w:vAlign w:val="center"/>
            <w:hideMark/>
          </w:tcPr>
          <w:p w14:paraId="07A0E732"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42D22FBF" w14:textId="5AC7E981"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Colchas y cobijas</w:t>
            </w:r>
          </w:p>
        </w:tc>
        <w:tc>
          <w:tcPr>
            <w:tcW w:w="615" w:type="pct"/>
            <w:shd w:val="clear" w:color="auto" w:fill="auto"/>
            <w:noWrap/>
            <w:tcMar>
              <w:top w:w="15" w:type="dxa"/>
              <w:left w:w="15" w:type="dxa"/>
              <w:bottom w:w="0" w:type="dxa"/>
              <w:right w:w="15" w:type="dxa"/>
            </w:tcMar>
            <w:vAlign w:val="bottom"/>
            <w:hideMark/>
          </w:tcPr>
          <w:p w14:paraId="147E9046" w14:textId="74847115"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0.84%</w:t>
            </w:r>
          </w:p>
        </w:tc>
        <w:tc>
          <w:tcPr>
            <w:tcW w:w="1628" w:type="pct"/>
            <w:shd w:val="clear" w:color="auto" w:fill="auto"/>
            <w:noWrap/>
            <w:tcMar>
              <w:top w:w="15" w:type="dxa"/>
              <w:left w:w="15" w:type="dxa"/>
              <w:bottom w:w="0" w:type="dxa"/>
              <w:right w:w="15" w:type="dxa"/>
            </w:tcMar>
            <w:vAlign w:val="bottom"/>
            <w:hideMark/>
          </w:tcPr>
          <w:p w14:paraId="567197C2" w14:textId="659EE1D2"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Servicio de televisión de paga</w:t>
            </w:r>
          </w:p>
        </w:tc>
        <w:tc>
          <w:tcPr>
            <w:tcW w:w="610" w:type="pct"/>
            <w:shd w:val="clear" w:color="auto" w:fill="auto"/>
            <w:noWrap/>
            <w:tcMar>
              <w:top w:w="15" w:type="dxa"/>
              <w:left w:w="15" w:type="dxa"/>
              <w:bottom w:w="0" w:type="dxa"/>
              <w:right w:w="15" w:type="dxa"/>
            </w:tcMar>
            <w:vAlign w:val="bottom"/>
            <w:hideMark/>
          </w:tcPr>
          <w:p w14:paraId="5ED7CE82" w14:textId="047DC7CB"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2.01%</w:t>
            </w:r>
          </w:p>
        </w:tc>
      </w:tr>
      <w:tr w:rsidR="00F467AF" w:rsidRPr="00FC6D04" w14:paraId="7F865EAA" w14:textId="77777777" w:rsidTr="00F467AF">
        <w:trPr>
          <w:trHeight w:val="20"/>
        </w:trPr>
        <w:tc>
          <w:tcPr>
            <w:tcW w:w="458" w:type="pct"/>
            <w:vMerge/>
            <w:vAlign w:val="center"/>
            <w:hideMark/>
          </w:tcPr>
          <w:p w14:paraId="403D8DFA"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147C7BA7" w14:textId="39EC5690"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Instrumentos musicales, y descargas de audio y video</w:t>
            </w:r>
          </w:p>
        </w:tc>
        <w:tc>
          <w:tcPr>
            <w:tcW w:w="615" w:type="pct"/>
            <w:shd w:val="clear" w:color="auto" w:fill="auto"/>
            <w:noWrap/>
            <w:tcMar>
              <w:top w:w="15" w:type="dxa"/>
              <w:left w:w="15" w:type="dxa"/>
              <w:bottom w:w="0" w:type="dxa"/>
              <w:right w:w="15" w:type="dxa"/>
            </w:tcMar>
            <w:vAlign w:val="bottom"/>
            <w:hideMark/>
          </w:tcPr>
          <w:p w14:paraId="06A06241" w14:textId="336640CC"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0.75%</w:t>
            </w:r>
          </w:p>
        </w:tc>
        <w:tc>
          <w:tcPr>
            <w:tcW w:w="1628" w:type="pct"/>
            <w:shd w:val="clear" w:color="auto" w:fill="auto"/>
            <w:noWrap/>
            <w:tcMar>
              <w:top w:w="15" w:type="dxa"/>
              <w:left w:w="15" w:type="dxa"/>
              <w:bottom w:w="0" w:type="dxa"/>
              <w:right w:w="15" w:type="dxa"/>
            </w:tcMar>
            <w:vAlign w:val="bottom"/>
            <w:hideMark/>
          </w:tcPr>
          <w:p w14:paraId="51E60E03" w14:textId="03394846"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Hoteles</w:t>
            </w:r>
          </w:p>
        </w:tc>
        <w:tc>
          <w:tcPr>
            <w:tcW w:w="610" w:type="pct"/>
            <w:shd w:val="clear" w:color="auto" w:fill="auto"/>
            <w:noWrap/>
            <w:tcMar>
              <w:top w:w="15" w:type="dxa"/>
              <w:left w:w="15" w:type="dxa"/>
              <w:bottom w:w="0" w:type="dxa"/>
              <w:right w:w="15" w:type="dxa"/>
            </w:tcMar>
            <w:vAlign w:val="bottom"/>
            <w:hideMark/>
          </w:tcPr>
          <w:p w14:paraId="01B45DFD" w14:textId="6E2E0A55"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1.97%</w:t>
            </w:r>
          </w:p>
        </w:tc>
      </w:tr>
      <w:tr w:rsidR="00F467AF" w:rsidRPr="00FC6D04" w14:paraId="561B6E49" w14:textId="77777777" w:rsidTr="00F467AF">
        <w:trPr>
          <w:trHeight w:val="20"/>
        </w:trPr>
        <w:tc>
          <w:tcPr>
            <w:tcW w:w="458" w:type="pct"/>
            <w:vMerge/>
            <w:vAlign w:val="center"/>
            <w:hideMark/>
          </w:tcPr>
          <w:p w14:paraId="60EAA2F5"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247A83DF" w14:textId="3895761B"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Complementos de vestir</w:t>
            </w:r>
          </w:p>
        </w:tc>
        <w:tc>
          <w:tcPr>
            <w:tcW w:w="615" w:type="pct"/>
            <w:shd w:val="clear" w:color="auto" w:fill="auto"/>
            <w:noWrap/>
            <w:tcMar>
              <w:top w:w="15" w:type="dxa"/>
              <w:left w:w="15" w:type="dxa"/>
              <w:bottom w:w="0" w:type="dxa"/>
              <w:right w:w="15" w:type="dxa"/>
            </w:tcMar>
            <w:vAlign w:val="bottom"/>
            <w:hideMark/>
          </w:tcPr>
          <w:p w14:paraId="0B21C6F3" w14:textId="423D0349"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0.46%</w:t>
            </w:r>
          </w:p>
        </w:tc>
        <w:tc>
          <w:tcPr>
            <w:tcW w:w="1628" w:type="pct"/>
            <w:shd w:val="clear" w:color="auto" w:fill="auto"/>
            <w:noWrap/>
            <w:tcMar>
              <w:top w:w="15" w:type="dxa"/>
              <w:left w:w="15" w:type="dxa"/>
              <w:bottom w:w="0" w:type="dxa"/>
              <w:right w:w="15" w:type="dxa"/>
            </w:tcMar>
            <w:vAlign w:val="bottom"/>
            <w:hideMark/>
          </w:tcPr>
          <w:p w14:paraId="29DA0FF3" w14:textId="465A86C4"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Autobús foráneo</w:t>
            </w:r>
          </w:p>
        </w:tc>
        <w:tc>
          <w:tcPr>
            <w:tcW w:w="610" w:type="pct"/>
            <w:shd w:val="clear" w:color="auto" w:fill="auto"/>
            <w:noWrap/>
            <w:tcMar>
              <w:top w:w="15" w:type="dxa"/>
              <w:left w:w="15" w:type="dxa"/>
              <w:bottom w:w="0" w:type="dxa"/>
              <w:right w:w="15" w:type="dxa"/>
            </w:tcMar>
            <w:vAlign w:val="bottom"/>
            <w:hideMark/>
          </w:tcPr>
          <w:p w14:paraId="2DA2B58B" w14:textId="47867D91"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0.78%</w:t>
            </w:r>
          </w:p>
        </w:tc>
      </w:tr>
      <w:tr w:rsidR="00F467AF" w:rsidRPr="00FC6D04" w14:paraId="06CE95B0" w14:textId="77777777" w:rsidTr="00F467AF">
        <w:trPr>
          <w:trHeight w:val="20"/>
        </w:trPr>
        <w:tc>
          <w:tcPr>
            <w:tcW w:w="458" w:type="pct"/>
            <w:vMerge/>
            <w:vAlign w:val="center"/>
            <w:hideMark/>
          </w:tcPr>
          <w:p w14:paraId="7562C9B9"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69E1AAED" w14:textId="50722CA4"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Toallas, cortinas y otros blancos</w:t>
            </w:r>
          </w:p>
        </w:tc>
        <w:tc>
          <w:tcPr>
            <w:tcW w:w="615" w:type="pct"/>
            <w:shd w:val="clear" w:color="auto" w:fill="auto"/>
            <w:noWrap/>
            <w:tcMar>
              <w:top w:w="15" w:type="dxa"/>
              <w:left w:w="15" w:type="dxa"/>
              <w:bottom w:w="0" w:type="dxa"/>
              <w:right w:w="15" w:type="dxa"/>
            </w:tcMar>
            <w:vAlign w:val="bottom"/>
            <w:hideMark/>
          </w:tcPr>
          <w:p w14:paraId="11673585" w14:textId="4C7191A6"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0.42%</w:t>
            </w:r>
          </w:p>
        </w:tc>
        <w:tc>
          <w:tcPr>
            <w:tcW w:w="1628" w:type="pct"/>
            <w:shd w:val="clear" w:color="auto" w:fill="auto"/>
            <w:noWrap/>
            <w:tcMar>
              <w:top w:w="15" w:type="dxa"/>
              <w:left w:w="15" w:type="dxa"/>
              <w:bottom w:w="0" w:type="dxa"/>
              <w:right w:w="15" w:type="dxa"/>
            </w:tcMar>
            <w:vAlign w:val="bottom"/>
            <w:hideMark/>
          </w:tcPr>
          <w:p w14:paraId="3F7CE69D" w14:textId="1DC3064E"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Club deportivo</w:t>
            </w:r>
          </w:p>
        </w:tc>
        <w:tc>
          <w:tcPr>
            <w:tcW w:w="610" w:type="pct"/>
            <w:shd w:val="clear" w:color="auto" w:fill="auto"/>
            <w:noWrap/>
            <w:tcMar>
              <w:top w:w="15" w:type="dxa"/>
              <w:left w:w="15" w:type="dxa"/>
              <w:bottom w:w="0" w:type="dxa"/>
              <w:right w:w="15" w:type="dxa"/>
            </w:tcMar>
            <w:vAlign w:val="bottom"/>
            <w:hideMark/>
          </w:tcPr>
          <w:p w14:paraId="35A7F0D3" w14:textId="68108A29"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0.75%</w:t>
            </w:r>
          </w:p>
        </w:tc>
      </w:tr>
      <w:tr w:rsidR="00F467AF" w:rsidRPr="00FC6D04" w14:paraId="030575DC" w14:textId="77777777" w:rsidTr="00F467AF">
        <w:trPr>
          <w:trHeight w:val="20"/>
        </w:trPr>
        <w:tc>
          <w:tcPr>
            <w:tcW w:w="458" w:type="pct"/>
            <w:vMerge/>
            <w:vAlign w:val="center"/>
            <w:hideMark/>
          </w:tcPr>
          <w:p w14:paraId="3E513BE8"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4D740B3F" w14:textId="25A146F3"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Bebidas energéticas</w:t>
            </w:r>
          </w:p>
        </w:tc>
        <w:tc>
          <w:tcPr>
            <w:tcW w:w="615" w:type="pct"/>
            <w:shd w:val="clear" w:color="auto" w:fill="auto"/>
            <w:noWrap/>
            <w:tcMar>
              <w:top w:w="15" w:type="dxa"/>
              <w:left w:w="15" w:type="dxa"/>
              <w:bottom w:w="0" w:type="dxa"/>
              <w:right w:w="15" w:type="dxa"/>
            </w:tcMar>
            <w:vAlign w:val="bottom"/>
            <w:hideMark/>
          </w:tcPr>
          <w:p w14:paraId="77E0532A" w14:textId="2199835E"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0.42%</w:t>
            </w:r>
          </w:p>
        </w:tc>
        <w:tc>
          <w:tcPr>
            <w:tcW w:w="1628" w:type="pct"/>
            <w:shd w:val="clear" w:color="auto" w:fill="auto"/>
            <w:noWrap/>
            <w:tcMar>
              <w:top w:w="15" w:type="dxa"/>
              <w:left w:w="15" w:type="dxa"/>
              <w:bottom w:w="0" w:type="dxa"/>
              <w:right w:w="15" w:type="dxa"/>
            </w:tcMar>
            <w:vAlign w:val="bottom"/>
            <w:hideMark/>
          </w:tcPr>
          <w:p w14:paraId="73E365F2" w14:textId="63A3D865"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Cine</w:t>
            </w:r>
          </w:p>
        </w:tc>
        <w:tc>
          <w:tcPr>
            <w:tcW w:w="610" w:type="pct"/>
            <w:shd w:val="clear" w:color="auto" w:fill="auto"/>
            <w:noWrap/>
            <w:tcMar>
              <w:top w:w="15" w:type="dxa"/>
              <w:left w:w="15" w:type="dxa"/>
              <w:bottom w:w="0" w:type="dxa"/>
              <w:right w:w="15" w:type="dxa"/>
            </w:tcMar>
            <w:vAlign w:val="bottom"/>
            <w:hideMark/>
          </w:tcPr>
          <w:p w14:paraId="75CAE022" w14:textId="7AD81D23"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0.73%</w:t>
            </w:r>
          </w:p>
        </w:tc>
      </w:tr>
      <w:tr w:rsidR="00F467AF" w:rsidRPr="00FC6D04" w14:paraId="03DD7BC2" w14:textId="77777777" w:rsidTr="00F467AF">
        <w:trPr>
          <w:trHeight w:val="20"/>
        </w:trPr>
        <w:tc>
          <w:tcPr>
            <w:tcW w:w="458" w:type="pct"/>
            <w:vMerge/>
            <w:vAlign w:val="center"/>
            <w:hideMark/>
          </w:tcPr>
          <w:p w14:paraId="038735FE"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752F062C" w14:textId="49531D2C"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Sandalias y huaraches</w:t>
            </w:r>
          </w:p>
        </w:tc>
        <w:tc>
          <w:tcPr>
            <w:tcW w:w="615" w:type="pct"/>
            <w:shd w:val="clear" w:color="auto" w:fill="auto"/>
            <w:noWrap/>
            <w:tcMar>
              <w:top w:w="15" w:type="dxa"/>
              <w:left w:w="15" w:type="dxa"/>
              <w:bottom w:w="0" w:type="dxa"/>
              <w:right w:w="15" w:type="dxa"/>
            </w:tcMar>
            <w:vAlign w:val="bottom"/>
            <w:hideMark/>
          </w:tcPr>
          <w:p w14:paraId="280CBFF6" w14:textId="63E436E3"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0.30%</w:t>
            </w:r>
          </w:p>
        </w:tc>
        <w:tc>
          <w:tcPr>
            <w:tcW w:w="1628" w:type="pct"/>
            <w:shd w:val="clear" w:color="auto" w:fill="auto"/>
            <w:noWrap/>
            <w:tcMar>
              <w:top w:w="15" w:type="dxa"/>
              <w:left w:w="15" w:type="dxa"/>
              <w:bottom w:w="0" w:type="dxa"/>
              <w:right w:w="15" w:type="dxa"/>
            </w:tcMar>
            <w:vAlign w:val="bottom"/>
            <w:hideMark/>
          </w:tcPr>
          <w:p w14:paraId="0C2CFFFC" w14:textId="2484297C"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Reparación de automóvil</w:t>
            </w:r>
          </w:p>
        </w:tc>
        <w:tc>
          <w:tcPr>
            <w:tcW w:w="610" w:type="pct"/>
            <w:shd w:val="clear" w:color="auto" w:fill="auto"/>
            <w:noWrap/>
            <w:tcMar>
              <w:top w:w="15" w:type="dxa"/>
              <w:left w:w="15" w:type="dxa"/>
              <w:bottom w:w="0" w:type="dxa"/>
              <w:right w:w="15" w:type="dxa"/>
            </w:tcMar>
            <w:vAlign w:val="bottom"/>
            <w:hideMark/>
          </w:tcPr>
          <w:p w14:paraId="35652231" w14:textId="70879038"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0.68%</w:t>
            </w:r>
          </w:p>
        </w:tc>
      </w:tr>
      <w:tr w:rsidR="00F467AF" w:rsidRPr="00FC6D04" w14:paraId="5CEFCA84" w14:textId="77777777" w:rsidTr="00F467AF">
        <w:trPr>
          <w:trHeight w:val="20"/>
        </w:trPr>
        <w:tc>
          <w:tcPr>
            <w:tcW w:w="458" w:type="pct"/>
            <w:vMerge/>
            <w:vAlign w:val="center"/>
            <w:hideMark/>
          </w:tcPr>
          <w:p w14:paraId="62E17FAA"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7FEB93D1" w14:textId="7B2C56E2"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615" w:type="pct"/>
            <w:shd w:val="clear" w:color="auto" w:fill="auto"/>
            <w:noWrap/>
            <w:tcMar>
              <w:top w:w="15" w:type="dxa"/>
              <w:left w:w="15" w:type="dxa"/>
              <w:bottom w:w="0" w:type="dxa"/>
              <w:right w:w="15" w:type="dxa"/>
            </w:tcMar>
            <w:vAlign w:val="bottom"/>
            <w:hideMark/>
          </w:tcPr>
          <w:p w14:paraId="0B92AAD2" w14:textId="0B2FD05C"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1628" w:type="pct"/>
            <w:shd w:val="clear" w:color="auto" w:fill="auto"/>
            <w:noWrap/>
            <w:tcMar>
              <w:top w:w="15" w:type="dxa"/>
              <w:left w:w="15" w:type="dxa"/>
              <w:bottom w:w="0" w:type="dxa"/>
              <w:right w:w="15" w:type="dxa"/>
            </w:tcMar>
            <w:vAlign w:val="bottom"/>
            <w:hideMark/>
          </w:tcPr>
          <w:p w14:paraId="14AFF15D" w14:textId="28591955"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Servicios profesionales</w:t>
            </w:r>
          </w:p>
        </w:tc>
        <w:tc>
          <w:tcPr>
            <w:tcW w:w="610" w:type="pct"/>
            <w:shd w:val="clear" w:color="auto" w:fill="auto"/>
            <w:noWrap/>
            <w:tcMar>
              <w:top w:w="15" w:type="dxa"/>
              <w:left w:w="15" w:type="dxa"/>
              <w:bottom w:w="0" w:type="dxa"/>
              <w:right w:w="15" w:type="dxa"/>
            </w:tcMar>
            <w:vAlign w:val="bottom"/>
            <w:hideMark/>
          </w:tcPr>
          <w:p w14:paraId="3CCB43AB" w14:textId="56FCFEBF"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0.61%</w:t>
            </w:r>
          </w:p>
        </w:tc>
      </w:tr>
      <w:tr w:rsidR="00F467AF" w:rsidRPr="00FC6D04" w14:paraId="5B281343" w14:textId="77777777" w:rsidTr="00F467AF">
        <w:trPr>
          <w:trHeight w:val="20"/>
        </w:trPr>
        <w:tc>
          <w:tcPr>
            <w:tcW w:w="458" w:type="pct"/>
            <w:vMerge/>
            <w:vAlign w:val="center"/>
            <w:hideMark/>
          </w:tcPr>
          <w:p w14:paraId="76390A28" w14:textId="77777777" w:rsidR="00F467AF" w:rsidRPr="00FC6D04" w:rsidRDefault="00F467AF" w:rsidP="00F467AF">
            <w:pPr>
              <w:rPr>
                <w:rFonts w:asciiTheme="majorHAnsi" w:hAnsiTheme="majorHAnsi" w:cstheme="majorHAnsi"/>
                <w:color w:val="000000"/>
                <w:sz w:val="12"/>
                <w:szCs w:val="12"/>
              </w:rPr>
            </w:pPr>
          </w:p>
        </w:tc>
        <w:tc>
          <w:tcPr>
            <w:tcW w:w="1689" w:type="pct"/>
            <w:shd w:val="clear" w:color="auto" w:fill="auto"/>
            <w:noWrap/>
            <w:tcMar>
              <w:top w:w="15" w:type="dxa"/>
              <w:left w:w="15" w:type="dxa"/>
              <w:bottom w:w="0" w:type="dxa"/>
              <w:right w:w="15" w:type="dxa"/>
            </w:tcMar>
            <w:vAlign w:val="bottom"/>
            <w:hideMark/>
          </w:tcPr>
          <w:p w14:paraId="0547A96E" w14:textId="3859D954"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615" w:type="pct"/>
            <w:shd w:val="clear" w:color="auto" w:fill="auto"/>
            <w:noWrap/>
            <w:tcMar>
              <w:top w:w="15" w:type="dxa"/>
              <w:left w:w="15" w:type="dxa"/>
              <w:bottom w:w="0" w:type="dxa"/>
              <w:right w:w="15" w:type="dxa"/>
            </w:tcMar>
            <w:vAlign w:val="bottom"/>
            <w:hideMark/>
          </w:tcPr>
          <w:p w14:paraId="293B8F0B" w14:textId="32DB5B33"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1628" w:type="pct"/>
            <w:shd w:val="clear" w:color="auto" w:fill="auto"/>
            <w:noWrap/>
            <w:tcMar>
              <w:top w:w="15" w:type="dxa"/>
              <w:left w:w="15" w:type="dxa"/>
              <w:bottom w:w="0" w:type="dxa"/>
              <w:right w:w="15" w:type="dxa"/>
            </w:tcMar>
            <w:vAlign w:val="bottom"/>
            <w:hideMark/>
          </w:tcPr>
          <w:p w14:paraId="6CEB67AB" w14:textId="40A1ACB8" w:rsidR="00F467AF" w:rsidRPr="00FD6E56" w:rsidRDefault="00F467AF" w:rsidP="00F467AF">
            <w:pPr>
              <w:rPr>
                <w:rFonts w:asciiTheme="majorHAnsi" w:hAnsiTheme="majorHAnsi" w:cstheme="majorHAnsi"/>
                <w:color w:val="FF0000"/>
                <w:sz w:val="12"/>
                <w:szCs w:val="12"/>
              </w:rPr>
            </w:pPr>
            <w:r>
              <w:rPr>
                <w:rFonts w:ascii="Leelawadee UI" w:hAnsi="Leelawadee UI" w:cs="Leelawadee UI"/>
                <w:color w:val="000000"/>
                <w:sz w:val="12"/>
                <w:szCs w:val="12"/>
              </w:rPr>
              <w:t>Paquetes para fiesta</w:t>
            </w:r>
          </w:p>
        </w:tc>
        <w:tc>
          <w:tcPr>
            <w:tcW w:w="610" w:type="pct"/>
            <w:shd w:val="clear" w:color="auto" w:fill="auto"/>
            <w:noWrap/>
            <w:tcMar>
              <w:top w:w="15" w:type="dxa"/>
              <w:left w:w="15" w:type="dxa"/>
              <w:bottom w:w="0" w:type="dxa"/>
              <w:right w:w="15" w:type="dxa"/>
            </w:tcMar>
            <w:vAlign w:val="bottom"/>
            <w:hideMark/>
          </w:tcPr>
          <w:p w14:paraId="1DF500B0" w14:textId="670C9BC8" w:rsidR="00F467AF" w:rsidRPr="00FD6E56" w:rsidRDefault="00F467AF"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0.58%</w:t>
            </w:r>
          </w:p>
        </w:tc>
      </w:tr>
      <w:tr w:rsidR="0045395E" w:rsidRPr="00FC6D04" w14:paraId="3A6B8D4A" w14:textId="77777777" w:rsidTr="00F467AF">
        <w:trPr>
          <w:trHeight w:val="20"/>
        </w:trPr>
        <w:tc>
          <w:tcPr>
            <w:tcW w:w="458" w:type="pct"/>
            <w:vMerge w:val="restart"/>
            <w:shd w:val="clear" w:color="auto" w:fill="FFF9E7"/>
            <w:tcMar>
              <w:top w:w="15" w:type="dxa"/>
              <w:left w:w="15" w:type="dxa"/>
              <w:bottom w:w="0" w:type="dxa"/>
              <w:right w:w="15" w:type="dxa"/>
            </w:tcMar>
            <w:vAlign w:val="center"/>
            <w:hideMark/>
          </w:tcPr>
          <w:p w14:paraId="2B77DB71" w14:textId="27D5F31F" w:rsidR="0045395E" w:rsidRPr="00FC6D04" w:rsidRDefault="006534A4" w:rsidP="00F467AF">
            <w:pPr>
              <w:jc w:val="center"/>
              <w:rPr>
                <w:rFonts w:asciiTheme="majorHAnsi" w:hAnsiTheme="majorHAnsi" w:cstheme="majorHAnsi"/>
                <w:color w:val="000000"/>
                <w:sz w:val="12"/>
                <w:szCs w:val="12"/>
              </w:rPr>
            </w:pPr>
            <w:r>
              <w:rPr>
                <w:rFonts w:asciiTheme="majorHAnsi" w:hAnsiTheme="majorHAnsi" w:cstheme="majorHAnsi"/>
                <w:color w:val="000000"/>
                <w:sz w:val="12"/>
                <w:szCs w:val="12"/>
              </w:rPr>
              <w:t>G</w:t>
            </w:r>
            <w:r w:rsidR="0045395E" w:rsidRPr="00FC6D04">
              <w:rPr>
                <w:rFonts w:asciiTheme="majorHAnsi" w:hAnsiTheme="majorHAnsi" w:cstheme="majorHAnsi"/>
                <w:color w:val="000000"/>
                <w:sz w:val="12"/>
                <w:szCs w:val="12"/>
              </w:rPr>
              <w:t>enéricos con mayor caída</w:t>
            </w:r>
          </w:p>
        </w:tc>
        <w:tc>
          <w:tcPr>
            <w:tcW w:w="1689" w:type="pct"/>
            <w:shd w:val="clear" w:color="auto" w:fill="FFF9E7"/>
            <w:noWrap/>
            <w:tcMar>
              <w:top w:w="15" w:type="dxa"/>
              <w:left w:w="15" w:type="dxa"/>
              <w:bottom w:w="0" w:type="dxa"/>
              <w:right w:w="15" w:type="dxa"/>
            </w:tcMar>
            <w:vAlign w:val="bottom"/>
            <w:hideMark/>
          </w:tcPr>
          <w:p w14:paraId="302A3952" w14:textId="31A1D1A3" w:rsidR="0045395E" w:rsidRPr="00FD6E56" w:rsidRDefault="0045395E" w:rsidP="00F467AF">
            <w:pPr>
              <w:rPr>
                <w:rFonts w:asciiTheme="majorHAnsi" w:hAnsiTheme="majorHAnsi" w:cstheme="majorHAnsi"/>
                <w:color w:val="FF0000"/>
                <w:sz w:val="12"/>
                <w:szCs w:val="12"/>
              </w:rPr>
            </w:pPr>
            <w:r>
              <w:rPr>
                <w:rFonts w:ascii="Leelawadee UI" w:hAnsi="Leelawadee UI" w:cs="Leelawadee UI"/>
                <w:color w:val="000000"/>
                <w:sz w:val="12"/>
                <w:szCs w:val="12"/>
              </w:rPr>
              <w:t>Consolas, discos y descargas de videojuegos</w:t>
            </w:r>
          </w:p>
        </w:tc>
        <w:tc>
          <w:tcPr>
            <w:tcW w:w="615" w:type="pct"/>
            <w:shd w:val="clear" w:color="auto" w:fill="FFF9E7"/>
            <w:noWrap/>
            <w:tcMar>
              <w:top w:w="15" w:type="dxa"/>
              <w:left w:w="15" w:type="dxa"/>
              <w:bottom w:w="0" w:type="dxa"/>
              <w:right w:w="15" w:type="dxa"/>
            </w:tcMar>
            <w:vAlign w:val="bottom"/>
            <w:hideMark/>
          </w:tcPr>
          <w:p w14:paraId="5EE5CC43" w14:textId="5CB7A331"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-1.95%</w:t>
            </w:r>
          </w:p>
        </w:tc>
        <w:tc>
          <w:tcPr>
            <w:tcW w:w="1628" w:type="pct"/>
            <w:shd w:val="clear" w:color="auto" w:fill="FFF9E7"/>
            <w:noWrap/>
            <w:tcMar>
              <w:top w:w="15" w:type="dxa"/>
              <w:left w:w="15" w:type="dxa"/>
              <w:bottom w:w="0" w:type="dxa"/>
              <w:right w:w="15" w:type="dxa"/>
            </w:tcMar>
            <w:vAlign w:val="bottom"/>
            <w:hideMark/>
          </w:tcPr>
          <w:p w14:paraId="30DA1F80" w14:textId="6D0DAFD6" w:rsidR="0045395E" w:rsidRPr="00FD6E56" w:rsidRDefault="0045395E" w:rsidP="00F467AF">
            <w:pPr>
              <w:rPr>
                <w:rFonts w:asciiTheme="majorHAnsi" w:hAnsiTheme="majorHAnsi" w:cstheme="majorHAnsi"/>
                <w:color w:val="FF0000"/>
                <w:sz w:val="12"/>
                <w:szCs w:val="12"/>
              </w:rPr>
            </w:pPr>
            <w:proofErr w:type="spellStart"/>
            <w:r>
              <w:rPr>
                <w:rFonts w:ascii="Leelawadee UI" w:hAnsi="Leelawadee UI" w:cs="Leelawadee UI"/>
                <w:color w:val="000000"/>
                <w:sz w:val="12"/>
                <w:szCs w:val="12"/>
              </w:rPr>
              <w:t>Streaming</w:t>
            </w:r>
            <w:proofErr w:type="spellEnd"/>
            <w:r>
              <w:rPr>
                <w:rFonts w:ascii="Leelawadee UI" w:hAnsi="Leelawadee UI" w:cs="Leelawadee UI"/>
                <w:color w:val="000000"/>
                <w:sz w:val="12"/>
                <w:szCs w:val="12"/>
              </w:rPr>
              <w:t xml:space="preserve"> de películas y música</w:t>
            </w:r>
          </w:p>
        </w:tc>
        <w:tc>
          <w:tcPr>
            <w:tcW w:w="610" w:type="pct"/>
            <w:shd w:val="clear" w:color="auto" w:fill="FFF9E7"/>
            <w:noWrap/>
            <w:tcMar>
              <w:top w:w="15" w:type="dxa"/>
              <w:left w:w="15" w:type="dxa"/>
              <w:bottom w:w="0" w:type="dxa"/>
              <w:right w:w="15" w:type="dxa"/>
            </w:tcMar>
            <w:vAlign w:val="bottom"/>
            <w:hideMark/>
          </w:tcPr>
          <w:p w14:paraId="3AF74053" w14:textId="711122D2"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-0.28%</w:t>
            </w:r>
          </w:p>
        </w:tc>
      </w:tr>
      <w:tr w:rsidR="0045395E" w:rsidRPr="00FC6D04" w14:paraId="00F8E8DA" w14:textId="77777777" w:rsidTr="00F467AF">
        <w:trPr>
          <w:trHeight w:val="20"/>
        </w:trPr>
        <w:tc>
          <w:tcPr>
            <w:tcW w:w="458" w:type="pct"/>
            <w:vMerge/>
            <w:shd w:val="clear" w:color="auto" w:fill="FFF9E7"/>
            <w:vAlign w:val="center"/>
            <w:hideMark/>
          </w:tcPr>
          <w:p w14:paraId="4B182141" w14:textId="77777777" w:rsidR="0045395E" w:rsidRPr="00FC6D04" w:rsidRDefault="0045395E" w:rsidP="00F467AF">
            <w:pPr>
              <w:rPr>
                <w:rFonts w:asciiTheme="majorHAnsi" w:hAnsiTheme="majorHAnsi" w:cstheme="majorHAnsi"/>
                <w:color w:val="000000"/>
                <w:sz w:val="12"/>
                <w:szCs w:val="12"/>
              </w:rPr>
            </w:pPr>
          </w:p>
        </w:tc>
        <w:tc>
          <w:tcPr>
            <w:tcW w:w="1689" w:type="pct"/>
            <w:shd w:val="clear" w:color="auto" w:fill="FFF9E7"/>
            <w:noWrap/>
            <w:tcMar>
              <w:top w:w="15" w:type="dxa"/>
              <w:left w:w="15" w:type="dxa"/>
              <w:bottom w:w="0" w:type="dxa"/>
              <w:right w:w="15" w:type="dxa"/>
            </w:tcMar>
            <w:vAlign w:val="bottom"/>
            <w:hideMark/>
          </w:tcPr>
          <w:p w14:paraId="77C09E7D" w14:textId="5CA27498" w:rsidR="0045395E" w:rsidRPr="00FD6E56" w:rsidRDefault="0045395E" w:rsidP="00F467AF">
            <w:pPr>
              <w:rPr>
                <w:rFonts w:asciiTheme="majorHAnsi" w:hAnsiTheme="majorHAnsi" w:cstheme="majorHAnsi"/>
                <w:color w:val="FF0000"/>
                <w:sz w:val="12"/>
                <w:szCs w:val="12"/>
              </w:rPr>
            </w:pPr>
            <w:r>
              <w:rPr>
                <w:rFonts w:ascii="Leelawadee UI" w:hAnsi="Leelawadee UI" w:cs="Leelawadee UI"/>
                <w:color w:val="000000"/>
                <w:sz w:val="12"/>
                <w:szCs w:val="12"/>
              </w:rPr>
              <w:t>Alimento para mascotas</w:t>
            </w:r>
          </w:p>
        </w:tc>
        <w:tc>
          <w:tcPr>
            <w:tcW w:w="615" w:type="pct"/>
            <w:shd w:val="clear" w:color="auto" w:fill="FFF9E7"/>
            <w:noWrap/>
            <w:tcMar>
              <w:top w:w="15" w:type="dxa"/>
              <w:left w:w="15" w:type="dxa"/>
              <w:bottom w:w="0" w:type="dxa"/>
              <w:right w:w="15" w:type="dxa"/>
            </w:tcMar>
            <w:vAlign w:val="bottom"/>
            <w:hideMark/>
          </w:tcPr>
          <w:p w14:paraId="338D267C" w14:textId="7956B3C3"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-0.72%</w:t>
            </w:r>
          </w:p>
        </w:tc>
        <w:tc>
          <w:tcPr>
            <w:tcW w:w="1628" w:type="pct"/>
            <w:shd w:val="clear" w:color="auto" w:fill="FFF9E7"/>
            <w:noWrap/>
            <w:tcMar>
              <w:top w:w="15" w:type="dxa"/>
              <w:left w:w="15" w:type="dxa"/>
              <w:bottom w:w="0" w:type="dxa"/>
              <w:right w:w="15" w:type="dxa"/>
            </w:tcMar>
            <w:vAlign w:val="bottom"/>
            <w:hideMark/>
          </w:tcPr>
          <w:p w14:paraId="490A2D4D" w14:textId="12739367" w:rsidR="0045395E" w:rsidRPr="00FD6E56" w:rsidRDefault="0045395E" w:rsidP="00F467AF">
            <w:pPr>
              <w:rPr>
                <w:rFonts w:asciiTheme="majorHAnsi" w:hAnsiTheme="majorHAnsi" w:cstheme="majorHAnsi"/>
                <w:color w:val="FF0000"/>
                <w:sz w:val="12"/>
                <w:szCs w:val="12"/>
              </w:rPr>
            </w:pPr>
            <w:r>
              <w:rPr>
                <w:rFonts w:ascii="Leelawadee UI" w:hAnsi="Leelawadee UI" w:cs="Leelawadee UI"/>
                <w:color w:val="000000"/>
                <w:sz w:val="12"/>
                <w:szCs w:val="12"/>
              </w:rPr>
              <w:t>Paquetes de internet, telefonía y televisión de paga</w:t>
            </w:r>
          </w:p>
        </w:tc>
        <w:tc>
          <w:tcPr>
            <w:tcW w:w="610" w:type="pct"/>
            <w:shd w:val="clear" w:color="auto" w:fill="FFF9E7"/>
            <w:noWrap/>
            <w:tcMar>
              <w:top w:w="15" w:type="dxa"/>
              <w:left w:w="15" w:type="dxa"/>
              <w:bottom w:w="0" w:type="dxa"/>
              <w:right w:w="15" w:type="dxa"/>
            </w:tcMar>
            <w:vAlign w:val="bottom"/>
            <w:hideMark/>
          </w:tcPr>
          <w:p w14:paraId="2678BD0A" w14:textId="21456A82"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-0.23%</w:t>
            </w:r>
          </w:p>
        </w:tc>
      </w:tr>
      <w:tr w:rsidR="0045395E" w:rsidRPr="00FC6D04" w14:paraId="55E6D043" w14:textId="77777777" w:rsidTr="00F467AF">
        <w:trPr>
          <w:trHeight w:val="20"/>
        </w:trPr>
        <w:tc>
          <w:tcPr>
            <w:tcW w:w="458" w:type="pct"/>
            <w:vMerge/>
            <w:shd w:val="clear" w:color="auto" w:fill="FFF9E7"/>
            <w:vAlign w:val="center"/>
            <w:hideMark/>
          </w:tcPr>
          <w:p w14:paraId="680999DB" w14:textId="77777777" w:rsidR="0045395E" w:rsidRPr="00FC6D04" w:rsidRDefault="0045395E" w:rsidP="00F467AF">
            <w:pPr>
              <w:rPr>
                <w:rFonts w:asciiTheme="majorHAnsi" w:hAnsiTheme="majorHAnsi" w:cstheme="majorHAnsi"/>
                <w:color w:val="000000"/>
                <w:sz w:val="12"/>
                <w:szCs w:val="12"/>
              </w:rPr>
            </w:pPr>
          </w:p>
        </w:tc>
        <w:tc>
          <w:tcPr>
            <w:tcW w:w="1689" w:type="pct"/>
            <w:shd w:val="clear" w:color="auto" w:fill="FFF9E7"/>
            <w:noWrap/>
            <w:tcMar>
              <w:top w:w="15" w:type="dxa"/>
              <w:left w:w="15" w:type="dxa"/>
              <w:bottom w:w="0" w:type="dxa"/>
              <w:right w:w="15" w:type="dxa"/>
            </w:tcMar>
            <w:vAlign w:val="bottom"/>
            <w:hideMark/>
          </w:tcPr>
          <w:p w14:paraId="53605C45" w14:textId="34E9D2F9" w:rsidR="0045395E" w:rsidRPr="00FD6E56" w:rsidRDefault="0045395E" w:rsidP="00F467AF">
            <w:pP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615" w:type="pct"/>
            <w:shd w:val="clear" w:color="auto" w:fill="FFF9E7"/>
            <w:noWrap/>
            <w:tcMar>
              <w:top w:w="15" w:type="dxa"/>
              <w:left w:w="15" w:type="dxa"/>
              <w:bottom w:w="0" w:type="dxa"/>
              <w:right w:w="15" w:type="dxa"/>
            </w:tcMar>
            <w:vAlign w:val="bottom"/>
            <w:hideMark/>
          </w:tcPr>
          <w:p w14:paraId="32C0B615" w14:textId="46616DF9"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 </w:t>
            </w:r>
          </w:p>
        </w:tc>
        <w:tc>
          <w:tcPr>
            <w:tcW w:w="1628" w:type="pct"/>
            <w:shd w:val="clear" w:color="auto" w:fill="FFF9E7"/>
            <w:noWrap/>
            <w:tcMar>
              <w:top w:w="15" w:type="dxa"/>
              <w:left w:w="15" w:type="dxa"/>
              <w:bottom w:w="0" w:type="dxa"/>
              <w:right w:w="15" w:type="dxa"/>
            </w:tcMar>
            <w:vAlign w:val="bottom"/>
            <w:hideMark/>
          </w:tcPr>
          <w:p w14:paraId="26161680" w14:textId="7287C0A4" w:rsidR="0045395E" w:rsidRPr="00FD6E56" w:rsidRDefault="0045395E" w:rsidP="00F467AF">
            <w:pPr>
              <w:rPr>
                <w:rFonts w:asciiTheme="majorHAnsi" w:hAnsiTheme="majorHAnsi" w:cstheme="majorHAnsi"/>
                <w:color w:val="FF0000"/>
                <w:sz w:val="12"/>
                <w:szCs w:val="12"/>
              </w:rPr>
            </w:pPr>
            <w:r>
              <w:rPr>
                <w:rFonts w:ascii="Leelawadee UI" w:hAnsi="Leelawadee UI" w:cs="Leelawadee UI"/>
                <w:color w:val="000000"/>
                <w:sz w:val="12"/>
                <w:szCs w:val="12"/>
              </w:rPr>
              <w:t>Seguro de automóvil</w:t>
            </w:r>
          </w:p>
        </w:tc>
        <w:tc>
          <w:tcPr>
            <w:tcW w:w="610" w:type="pct"/>
            <w:shd w:val="clear" w:color="auto" w:fill="FFF9E7"/>
            <w:noWrap/>
            <w:tcMar>
              <w:top w:w="15" w:type="dxa"/>
              <w:left w:w="15" w:type="dxa"/>
              <w:bottom w:w="0" w:type="dxa"/>
              <w:right w:w="15" w:type="dxa"/>
            </w:tcMar>
            <w:vAlign w:val="bottom"/>
            <w:hideMark/>
          </w:tcPr>
          <w:p w14:paraId="386A024B" w14:textId="6D109E68" w:rsidR="0045395E" w:rsidRPr="00FD6E56" w:rsidRDefault="0045395E" w:rsidP="00F467AF">
            <w:pPr>
              <w:jc w:val="center"/>
              <w:rPr>
                <w:rFonts w:asciiTheme="majorHAnsi" w:hAnsiTheme="majorHAnsi" w:cstheme="majorHAnsi"/>
                <w:color w:val="FF0000"/>
                <w:sz w:val="12"/>
                <w:szCs w:val="12"/>
              </w:rPr>
            </w:pPr>
            <w:r>
              <w:rPr>
                <w:rFonts w:ascii="Leelawadee UI" w:hAnsi="Leelawadee UI" w:cs="Leelawadee UI"/>
                <w:color w:val="000000"/>
                <w:sz w:val="12"/>
                <w:szCs w:val="12"/>
              </w:rPr>
              <w:t>-0.10%</w:t>
            </w:r>
          </w:p>
        </w:tc>
      </w:tr>
    </w:tbl>
    <w:p w14:paraId="6BC1EA07" w14:textId="19FDF373" w:rsidR="00C741BC" w:rsidRPr="0045395E" w:rsidRDefault="00C741BC" w:rsidP="00C741BC">
      <w:pPr>
        <w:jc w:val="both"/>
        <w:rPr>
          <w:rFonts w:asciiTheme="majorHAnsi" w:hAnsiTheme="majorHAnsi" w:cstheme="majorHAnsi"/>
          <w:sz w:val="20"/>
          <w:szCs w:val="20"/>
        </w:rPr>
      </w:pPr>
      <w:r w:rsidRPr="0045395E">
        <w:rPr>
          <w:rFonts w:asciiTheme="majorHAnsi" w:hAnsiTheme="majorHAnsi" w:cstheme="majorHAnsi"/>
          <w:b/>
          <w:bCs/>
          <w:sz w:val="20"/>
          <w:szCs w:val="20"/>
        </w:rPr>
        <w:t>Nota*:</w:t>
      </w:r>
      <w:r w:rsidRPr="0045395E">
        <w:rPr>
          <w:rFonts w:asciiTheme="majorHAnsi" w:hAnsiTheme="majorHAnsi" w:cstheme="majorHAnsi"/>
          <w:sz w:val="20"/>
          <w:szCs w:val="20"/>
        </w:rPr>
        <w:t xml:space="preserve"> Debido a la falta de datos de los genéricos de mercancías para la primera quincena de </w:t>
      </w:r>
      <w:r w:rsidR="0045395E" w:rsidRPr="0045395E">
        <w:rPr>
          <w:rFonts w:asciiTheme="majorHAnsi" w:hAnsiTheme="majorHAnsi" w:cstheme="majorHAnsi"/>
          <w:sz w:val="20"/>
          <w:szCs w:val="20"/>
        </w:rPr>
        <w:t>diciembre</w:t>
      </w:r>
      <w:r w:rsidRPr="0045395E">
        <w:rPr>
          <w:rFonts w:asciiTheme="majorHAnsi" w:hAnsiTheme="majorHAnsi" w:cstheme="majorHAnsi"/>
          <w:sz w:val="20"/>
          <w:szCs w:val="20"/>
        </w:rPr>
        <w:t xml:space="preserve"> por parte de INEGI, solo fue posible identificar con precisión 10 genéricos de un total de 189 genéricos de mercancías.</w:t>
      </w:r>
    </w:p>
    <w:p w14:paraId="093C0CA7" w14:textId="77777777" w:rsidR="00C741BC" w:rsidRPr="00FC6D04" w:rsidRDefault="00C741BC" w:rsidP="00C741BC">
      <w:pPr>
        <w:jc w:val="both"/>
        <w:rPr>
          <w:rFonts w:asciiTheme="majorHAnsi" w:hAnsiTheme="majorHAnsi" w:cstheme="majorHAnsi"/>
          <w:sz w:val="20"/>
          <w:szCs w:val="22"/>
        </w:rPr>
      </w:pPr>
      <w:r w:rsidRPr="00FC6D04">
        <w:rPr>
          <w:rFonts w:asciiTheme="majorHAnsi" w:hAnsiTheme="majorHAnsi" w:cstheme="majorHAnsi"/>
          <w:sz w:val="20"/>
          <w:szCs w:val="22"/>
        </w:rPr>
        <w:t>Fuente: Grupo Financiero BASE con información de INEGI.</w:t>
      </w:r>
    </w:p>
    <w:p w14:paraId="051C2487" w14:textId="0FDE1B13" w:rsidR="00FD6E56" w:rsidRPr="0045395E" w:rsidRDefault="00FD6E56">
      <w:pPr>
        <w:rPr>
          <w:rFonts w:asciiTheme="majorHAnsi" w:hAnsiTheme="majorHAnsi" w:cstheme="majorHAnsi"/>
          <w:b/>
          <w:sz w:val="10"/>
          <w:szCs w:val="10"/>
        </w:rPr>
      </w:pPr>
    </w:p>
    <w:p w14:paraId="715D2555" w14:textId="77777777" w:rsidR="0045395E" w:rsidRDefault="0045395E">
      <w:pPr>
        <w:rPr>
          <w:rFonts w:asciiTheme="majorHAnsi" w:hAnsiTheme="majorHAnsi" w:cstheme="majorHAnsi"/>
          <w:b/>
          <w:sz w:val="20"/>
          <w:szCs w:val="22"/>
        </w:rPr>
      </w:pPr>
      <w:r>
        <w:rPr>
          <w:rFonts w:asciiTheme="majorHAnsi" w:hAnsiTheme="majorHAnsi" w:cstheme="majorHAnsi"/>
          <w:b/>
          <w:sz w:val="20"/>
          <w:szCs w:val="22"/>
        </w:rPr>
        <w:br w:type="page"/>
      </w:r>
    </w:p>
    <w:p w14:paraId="102F808D" w14:textId="578701CE" w:rsidR="00393476" w:rsidRPr="00FC6D04" w:rsidRDefault="00393476" w:rsidP="00393476">
      <w:pPr>
        <w:rPr>
          <w:rFonts w:asciiTheme="majorHAnsi" w:hAnsiTheme="majorHAnsi" w:cstheme="majorHAnsi"/>
          <w:b/>
          <w:sz w:val="20"/>
          <w:szCs w:val="22"/>
        </w:rPr>
      </w:pPr>
      <w:r w:rsidRPr="00FC6D04">
        <w:rPr>
          <w:rFonts w:asciiTheme="majorHAnsi" w:hAnsiTheme="majorHAnsi" w:cstheme="majorHAnsi"/>
          <w:b/>
          <w:sz w:val="20"/>
          <w:szCs w:val="22"/>
        </w:rPr>
        <w:lastRenderedPageBreak/>
        <w:t xml:space="preserve">Tabla </w:t>
      </w:r>
      <w:r w:rsidR="00C741BC">
        <w:rPr>
          <w:rFonts w:asciiTheme="majorHAnsi" w:hAnsiTheme="majorHAnsi" w:cstheme="majorHAnsi"/>
          <w:b/>
          <w:sz w:val="20"/>
          <w:szCs w:val="22"/>
        </w:rPr>
        <w:t>3</w:t>
      </w:r>
      <w:r w:rsidRPr="00FC6D04">
        <w:rPr>
          <w:rFonts w:asciiTheme="majorHAnsi" w:hAnsiTheme="majorHAnsi" w:cstheme="majorHAnsi"/>
          <w:b/>
          <w:sz w:val="20"/>
          <w:szCs w:val="22"/>
        </w:rPr>
        <w:t xml:space="preserve">. </w:t>
      </w:r>
      <w:r w:rsidRPr="00FC6D04">
        <w:rPr>
          <w:rFonts w:asciiTheme="majorHAnsi" w:hAnsiTheme="majorHAnsi" w:cstheme="majorHAnsi"/>
          <w:sz w:val="20"/>
          <w:szCs w:val="22"/>
        </w:rPr>
        <w:t>Genéricos con la mayor y menor variación quincenal, componente no subyacente.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0"/>
        <w:gridCol w:w="1432"/>
        <w:gridCol w:w="709"/>
        <w:gridCol w:w="1132"/>
        <w:gridCol w:w="641"/>
        <w:gridCol w:w="1503"/>
        <w:gridCol w:w="696"/>
        <w:gridCol w:w="1660"/>
        <w:gridCol w:w="628"/>
      </w:tblGrid>
      <w:tr w:rsidR="00F467AF" w:rsidRPr="00FC6D04" w14:paraId="632E29F9" w14:textId="77777777" w:rsidTr="00F467AF">
        <w:trPr>
          <w:trHeight w:val="20"/>
        </w:trPr>
        <w:tc>
          <w:tcPr>
            <w:tcW w:w="450" w:type="pct"/>
            <w:shd w:val="clear" w:color="auto" w:fill="FFDB69"/>
            <w:noWrap/>
            <w:vAlign w:val="center"/>
            <w:hideMark/>
          </w:tcPr>
          <w:p w14:paraId="09636E41" w14:textId="5492ABA9" w:rsidR="00393476" w:rsidRPr="00FC6D04" w:rsidRDefault="00393476" w:rsidP="00F467AF">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 xml:space="preserve">1q </w:t>
            </w:r>
            <w:r w:rsidR="00D21593">
              <w:rPr>
                <w:rFonts w:asciiTheme="majorHAnsi" w:hAnsiTheme="majorHAnsi" w:cstheme="majorHAnsi"/>
                <w:b/>
                <w:bCs/>
                <w:sz w:val="12"/>
                <w:szCs w:val="12"/>
                <w:lang w:eastAsia="es-MX"/>
              </w:rPr>
              <w:t>dic</w:t>
            </w:r>
            <w:r w:rsidRPr="00FC6D04">
              <w:rPr>
                <w:rFonts w:asciiTheme="majorHAnsi" w:hAnsiTheme="majorHAnsi" w:cstheme="majorHAnsi"/>
                <w:b/>
                <w:bCs/>
                <w:sz w:val="12"/>
                <w:szCs w:val="12"/>
                <w:lang w:eastAsia="es-MX"/>
              </w:rPr>
              <w:t xml:space="preserve"> 2024</w:t>
            </w:r>
          </w:p>
        </w:tc>
        <w:tc>
          <w:tcPr>
            <w:tcW w:w="776" w:type="pct"/>
            <w:shd w:val="clear" w:color="auto" w:fill="FFDB69"/>
            <w:noWrap/>
            <w:vAlign w:val="center"/>
            <w:hideMark/>
          </w:tcPr>
          <w:p w14:paraId="46895C99"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Frutas y verduras</w:t>
            </w:r>
          </w:p>
        </w:tc>
        <w:tc>
          <w:tcPr>
            <w:tcW w:w="384" w:type="pct"/>
            <w:shd w:val="clear" w:color="auto" w:fill="FFDB69"/>
            <w:vAlign w:val="center"/>
            <w:hideMark/>
          </w:tcPr>
          <w:p w14:paraId="1EB24123"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Variación quincenal</w:t>
            </w:r>
          </w:p>
        </w:tc>
        <w:tc>
          <w:tcPr>
            <w:tcW w:w="613" w:type="pct"/>
            <w:shd w:val="clear" w:color="auto" w:fill="FFDB69"/>
            <w:noWrap/>
            <w:vAlign w:val="center"/>
            <w:hideMark/>
          </w:tcPr>
          <w:p w14:paraId="3779903E"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Pecuarios</w:t>
            </w:r>
          </w:p>
        </w:tc>
        <w:tc>
          <w:tcPr>
            <w:tcW w:w="347" w:type="pct"/>
            <w:shd w:val="clear" w:color="auto" w:fill="FFDB69"/>
            <w:vAlign w:val="center"/>
            <w:hideMark/>
          </w:tcPr>
          <w:p w14:paraId="4D9F5AA9"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Variación quincenal</w:t>
            </w:r>
          </w:p>
        </w:tc>
        <w:tc>
          <w:tcPr>
            <w:tcW w:w="814" w:type="pct"/>
            <w:shd w:val="clear" w:color="auto" w:fill="FFDB69"/>
            <w:noWrap/>
            <w:vAlign w:val="center"/>
            <w:hideMark/>
          </w:tcPr>
          <w:p w14:paraId="7565F1D0"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Energéticos</w:t>
            </w:r>
          </w:p>
        </w:tc>
        <w:tc>
          <w:tcPr>
            <w:tcW w:w="377" w:type="pct"/>
            <w:shd w:val="clear" w:color="auto" w:fill="FFDB69"/>
            <w:vAlign w:val="center"/>
            <w:hideMark/>
          </w:tcPr>
          <w:p w14:paraId="62FAB265"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Variación quincenal</w:t>
            </w:r>
          </w:p>
        </w:tc>
        <w:tc>
          <w:tcPr>
            <w:tcW w:w="899" w:type="pct"/>
            <w:shd w:val="clear" w:color="auto" w:fill="FFDB69"/>
            <w:noWrap/>
            <w:vAlign w:val="center"/>
            <w:hideMark/>
          </w:tcPr>
          <w:p w14:paraId="24D8331A" w14:textId="77777777" w:rsidR="00F467AF"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 xml:space="preserve">Tarifas autorizadas </w:t>
            </w:r>
          </w:p>
          <w:p w14:paraId="469AB404" w14:textId="1E57AEC3"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por el gobierno</w:t>
            </w:r>
          </w:p>
        </w:tc>
        <w:tc>
          <w:tcPr>
            <w:tcW w:w="340" w:type="pct"/>
            <w:shd w:val="clear" w:color="auto" w:fill="FFDB69"/>
            <w:vAlign w:val="center"/>
            <w:hideMark/>
          </w:tcPr>
          <w:p w14:paraId="37F8E9CD" w14:textId="77777777" w:rsidR="00393476" w:rsidRPr="00FC6D04" w:rsidRDefault="00393476" w:rsidP="003376C7">
            <w:pPr>
              <w:jc w:val="center"/>
              <w:rPr>
                <w:rFonts w:asciiTheme="majorHAnsi" w:hAnsiTheme="majorHAnsi" w:cstheme="majorHAnsi"/>
                <w:b/>
                <w:bCs/>
                <w:sz w:val="12"/>
                <w:szCs w:val="12"/>
                <w:lang w:eastAsia="es-MX"/>
              </w:rPr>
            </w:pPr>
            <w:r w:rsidRPr="00FC6D04">
              <w:rPr>
                <w:rFonts w:asciiTheme="majorHAnsi" w:hAnsiTheme="majorHAnsi" w:cstheme="majorHAnsi"/>
                <w:b/>
                <w:bCs/>
                <w:sz w:val="12"/>
                <w:szCs w:val="12"/>
                <w:lang w:eastAsia="es-MX"/>
              </w:rPr>
              <w:t>Variación quincenal</w:t>
            </w:r>
          </w:p>
        </w:tc>
      </w:tr>
      <w:tr w:rsidR="00F467AF" w:rsidRPr="00FC6D04" w14:paraId="3D6FB78A" w14:textId="77777777" w:rsidTr="00F467AF">
        <w:trPr>
          <w:trHeight w:val="20"/>
        </w:trPr>
        <w:tc>
          <w:tcPr>
            <w:tcW w:w="450" w:type="pct"/>
            <w:vMerge w:val="restart"/>
            <w:shd w:val="clear" w:color="auto" w:fill="auto"/>
            <w:vAlign w:val="center"/>
            <w:hideMark/>
          </w:tcPr>
          <w:p w14:paraId="7D0D20C0" w14:textId="69D90DE7" w:rsidR="00F467AF" w:rsidRPr="00FC6D04" w:rsidRDefault="006534A4" w:rsidP="00F467AF">
            <w:pPr>
              <w:jc w:val="center"/>
              <w:rPr>
                <w:rFonts w:asciiTheme="majorHAnsi" w:hAnsiTheme="majorHAnsi" w:cstheme="majorHAnsi"/>
                <w:color w:val="000000"/>
                <w:sz w:val="12"/>
                <w:szCs w:val="12"/>
                <w:lang w:eastAsia="es-MX"/>
              </w:rPr>
            </w:pPr>
            <w:r>
              <w:rPr>
                <w:rFonts w:asciiTheme="majorHAnsi" w:hAnsiTheme="majorHAnsi" w:cstheme="majorHAnsi"/>
                <w:color w:val="000000"/>
                <w:sz w:val="12"/>
                <w:szCs w:val="12"/>
                <w:lang w:eastAsia="es-MX"/>
              </w:rPr>
              <w:t>G</w:t>
            </w:r>
            <w:r w:rsidR="00F467AF" w:rsidRPr="00FC6D04">
              <w:rPr>
                <w:rFonts w:asciiTheme="majorHAnsi" w:hAnsiTheme="majorHAnsi" w:cstheme="majorHAnsi"/>
                <w:color w:val="000000"/>
                <w:sz w:val="12"/>
                <w:szCs w:val="12"/>
                <w:lang w:eastAsia="es-MX"/>
              </w:rPr>
              <w:t>enéricos con mayor incremento</w:t>
            </w:r>
          </w:p>
        </w:tc>
        <w:tc>
          <w:tcPr>
            <w:tcW w:w="776" w:type="pct"/>
            <w:shd w:val="clear" w:color="auto" w:fill="auto"/>
            <w:noWrap/>
            <w:vAlign w:val="bottom"/>
            <w:hideMark/>
          </w:tcPr>
          <w:p w14:paraId="7BAE6A25" w14:textId="20233B3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Calabacita</w:t>
            </w:r>
          </w:p>
        </w:tc>
        <w:tc>
          <w:tcPr>
            <w:tcW w:w="384" w:type="pct"/>
            <w:shd w:val="clear" w:color="auto" w:fill="auto"/>
            <w:noWrap/>
            <w:vAlign w:val="bottom"/>
            <w:hideMark/>
          </w:tcPr>
          <w:p w14:paraId="6D2B0C25" w14:textId="603147F7"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13.78%</w:t>
            </w:r>
          </w:p>
        </w:tc>
        <w:tc>
          <w:tcPr>
            <w:tcW w:w="613" w:type="pct"/>
            <w:shd w:val="clear" w:color="auto" w:fill="auto"/>
            <w:noWrap/>
            <w:vAlign w:val="bottom"/>
            <w:hideMark/>
          </w:tcPr>
          <w:p w14:paraId="277DC747" w14:textId="43F0544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Pollo</w:t>
            </w:r>
          </w:p>
        </w:tc>
        <w:tc>
          <w:tcPr>
            <w:tcW w:w="347" w:type="pct"/>
            <w:shd w:val="clear" w:color="auto" w:fill="auto"/>
            <w:noWrap/>
            <w:vAlign w:val="bottom"/>
            <w:hideMark/>
          </w:tcPr>
          <w:p w14:paraId="1F52AE8F" w14:textId="02DD4ED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1.18%</w:t>
            </w:r>
          </w:p>
        </w:tc>
        <w:tc>
          <w:tcPr>
            <w:tcW w:w="814" w:type="pct"/>
            <w:shd w:val="clear" w:color="auto" w:fill="auto"/>
            <w:noWrap/>
            <w:vAlign w:val="bottom"/>
            <w:hideMark/>
          </w:tcPr>
          <w:p w14:paraId="41FF6D87" w14:textId="70E1283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Gas doméstico LP</w:t>
            </w:r>
          </w:p>
        </w:tc>
        <w:tc>
          <w:tcPr>
            <w:tcW w:w="377" w:type="pct"/>
            <w:shd w:val="clear" w:color="auto" w:fill="auto"/>
            <w:noWrap/>
            <w:vAlign w:val="bottom"/>
            <w:hideMark/>
          </w:tcPr>
          <w:p w14:paraId="7F19BC1D" w14:textId="28B7A4C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0.59%</w:t>
            </w:r>
          </w:p>
        </w:tc>
        <w:tc>
          <w:tcPr>
            <w:tcW w:w="899" w:type="pct"/>
            <w:shd w:val="clear" w:color="auto" w:fill="auto"/>
            <w:noWrap/>
            <w:vAlign w:val="bottom"/>
            <w:hideMark/>
          </w:tcPr>
          <w:p w14:paraId="1952B034" w14:textId="412019A4"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Taxi</w:t>
            </w:r>
          </w:p>
        </w:tc>
        <w:tc>
          <w:tcPr>
            <w:tcW w:w="340" w:type="pct"/>
            <w:shd w:val="clear" w:color="auto" w:fill="auto"/>
            <w:noWrap/>
            <w:vAlign w:val="bottom"/>
            <w:hideMark/>
          </w:tcPr>
          <w:p w14:paraId="143E848C" w14:textId="7F784C77"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1.49%</w:t>
            </w:r>
          </w:p>
        </w:tc>
      </w:tr>
      <w:tr w:rsidR="00F467AF" w:rsidRPr="00FC6D04" w14:paraId="5686A68B" w14:textId="77777777" w:rsidTr="00F467AF">
        <w:trPr>
          <w:trHeight w:val="20"/>
        </w:trPr>
        <w:tc>
          <w:tcPr>
            <w:tcW w:w="450" w:type="pct"/>
            <w:vMerge/>
            <w:vAlign w:val="center"/>
            <w:hideMark/>
          </w:tcPr>
          <w:p w14:paraId="01E10A52"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31558F75" w14:textId="21B26A2E"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Sandía</w:t>
            </w:r>
          </w:p>
        </w:tc>
        <w:tc>
          <w:tcPr>
            <w:tcW w:w="384" w:type="pct"/>
            <w:shd w:val="clear" w:color="auto" w:fill="auto"/>
            <w:noWrap/>
            <w:vAlign w:val="bottom"/>
            <w:hideMark/>
          </w:tcPr>
          <w:p w14:paraId="3A6D40AA" w14:textId="20A2EC6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13.28%</w:t>
            </w:r>
          </w:p>
        </w:tc>
        <w:tc>
          <w:tcPr>
            <w:tcW w:w="613" w:type="pct"/>
            <w:shd w:val="clear" w:color="auto" w:fill="auto"/>
            <w:noWrap/>
            <w:vAlign w:val="bottom"/>
            <w:hideMark/>
          </w:tcPr>
          <w:p w14:paraId="0C569D57" w14:textId="7639EE68"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Carne de res</w:t>
            </w:r>
          </w:p>
        </w:tc>
        <w:tc>
          <w:tcPr>
            <w:tcW w:w="347" w:type="pct"/>
            <w:shd w:val="clear" w:color="auto" w:fill="auto"/>
            <w:noWrap/>
            <w:vAlign w:val="bottom"/>
            <w:hideMark/>
          </w:tcPr>
          <w:p w14:paraId="71DED570" w14:textId="5B43C71F"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0.77%</w:t>
            </w:r>
          </w:p>
        </w:tc>
        <w:tc>
          <w:tcPr>
            <w:tcW w:w="814" w:type="pct"/>
            <w:shd w:val="clear" w:color="auto" w:fill="auto"/>
            <w:noWrap/>
            <w:vAlign w:val="bottom"/>
            <w:hideMark/>
          </w:tcPr>
          <w:p w14:paraId="0CAF2ACB" w14:textId="33FDBDE7"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Gasolina de alto octanaje</w:t>
            </w:r>
          </w:p>
        </w:tc>
        <w:tc>
          <w:tcPr>
            <w:tcW w:w="377" w:type="pct"/>
            <w:shd w:val="clear" w:color="auto" w:fill="auto"/>
            <w:noWrap/>
            <w:vAlign w:val="bottom"/>
            <w:hideMark/>
          </w:tcPr>
          <w:p w14:paraId="37096006" w14:textId="309DE69B"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0.07%</w:t>
            </w:r>
          </w:p>
        </w:tc>
        <w:tc>
          <w:tcPr>
            <w:tcW w:w="899" w:type="pct"/>
            <w:shd w:val="clear" w:color="auto" w:fill="auto"/>
            <w:noWrap/>
            <w:vAlign w:val="bottom"/>
            <w:hideMark/>
          </w:tcPr>
          <w:p w14:paraId="7DB59B72" w14:textId="2B187B8A"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Trámites vehiculares</w:t>
            </w:r>
          </w:p>
        </w:tc>
        <w:tc>
          <w:tcPr>
            <w:tcW w:w="340" w:type="pct"/>
            <w:shd w:val="clear" w:color="auto" w:fill="auto"/>
            <w:noWrap/>
            <w:vAlign w:val="bottom"/>
            <w:hideMark/>
          </w:tcPr>
          <w:p w14:paraId="3B195961" w14:textId="1ADCC963"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0.49%</w:t>
            </w:r>
          </w:p>
        </w:tc>
      </w:tr>
      <w:tr w:rsidR="00F467AF" w:rsidRPr="00FC6D04" w14:paraId="45F6AE82" w14:textId="77777777" w:rsidTr="00F467AF">
        <w:trPr>
          <w:trHeight w:val="20"/>
        </w:trPr>
        <w:tc>
          <w:tcPr>
            <w:tcW w:w="450" w:type="pct"/>
            <w:vMerge/>
            <w:vAlign w:val="center"/>
            <w:hideMark/>
          </w:tcPr>
          <w:p w14:paraId="06B00734"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2A110E2A" w14:textId="1AABE5C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Uva</w:t>
            </w:r>
          </w:p>
        </w:tc>
        <w:tc>
          <w:tcPr>
            <w:tcW w:w="384" w:type="pct"/>
            <w:shd w:val="clear" w:color="auto" w:fill="auto"/>
            <w:noWrap/>
            <w:vAlign w:val="bottom"/>
            <w:hideMark/>
          </w:tcPr>
          <w:p w14:paraId="6B59248B" w14:textId="0866566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11.21%</w:t>
            </w:r>
          </w:p>
        </w:tc>
        <w:tc>
          <w:tcPr>
            <w:tcW w:w="613" w:type="pct"/>
            <w:shd w:val="clear" w:color="auto" w:fill="auto"/>
            <w:noWrap/>
            <w:vAlign w:val="bottom"/>
            <w:hideMark/>
          </w:tcPr>
          <w:p w14:paraId="55DBC6AE" w14:textId="46CB0C5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Carne de cerdo</w:t>
            </w:r>
          </w:p>
        </w:tc>
        <w:tc>
          <w:tcPr>
            <w:tcW w:w="347" w:type="pct"/>
            <w:shd w:val="clear" w:color="auto" w:fill="auto"/>
            <w:noWrap/>
            <w:vAlign w:val="bottom"/>
            <w:hideMark/>
          </w:tcPr>
          <w:p w14:paraId="6B61E77C" w14:textId="5C94389A"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0.53%</w:t>
            </w:r>
          </w:p>
        </w:tc>
        <w:tc>
          <w:tcPr>
            <w:tcW w:w="814" w:type="pct"/>
            <w:shd w:val="clear" w:color="auto" w:fill="auto"/>
            <w:noWrap/>
            <w:vAlign w:val="bottom"/>
            <w:hideMark/>
          </w:tcPr>
          <w:p w14:paraId="25FA7DEE" w14:textId="329C7C0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Gasolina de bajo octanaje</w:t>
            </w:r>
          </w:p>
        </w:tc>
        <w:tc>
          <w:tcPr>
            <w:tcW w:w="377" w:type="pct"/>
            <w:shd w:val="clear" w:color="auto" w:fill="auto"/>
            <w:noWrap/>
            <w:vAlign w:val="bottom"/>
            <w:hideMark/>
          </w:tcPr>
          <w:p w14:paraId="15BDCCEF" w14:textId="20F86973"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0.04%</w:t>
            </w:r>
          </w:p>
        </w:tc>
        <w:tc>
          <w:tcPr>
            <w:tcW w:w="899" w:type="pct"/>
            <w:shd w:val="clear" w:color="auto" w:fill="auto"/>
            <w:noWrap/>
            <w:vAlign w:val="bottom"/>
            <w:hideMark/>
          </w:tcPr>
          <w:p w14:paraId="2D6BAC84" w14:textId="46B6FF8F"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Expedición de documentos…</w:t>
            </w:r>
          </w:p>
        </w:tc>
        <w:tc>
          <w:tcPr>
            <w:tcW w:w="340" w:type="pct"/>
            <w:shd w:val="clear" w:color="auto" w:fill="auto"/>
            <w:noWrap/>
            <w:vAlign w:val="bottom"/>
            <w:hideMark/>
          </w:tcPr>
          <w:p w14:paraId="16C60691" w14:textId="66F2664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0.37%</w:t>
            </w:r>
          </w:p>
        </w:tc>
      </w:tr>
      <w:tr w:rsidR="00F467AF" w:rsidRPr="00FC6D04" w14:paraId="414E8A56" w14:textId="77777777" w:rsidTr="00F467AF">
        <w:trPr>
          <w:trHeight w:val="20"/>
        </w:trPr>
        <w:tc>
          <w:tcPr>
            <w:tcW w:w="450" w:type="pct"/>
            <w:vMerge/>
            <w:vAlign w:val="center"/>
            <w:hideMark/>
          </w:tcPr>
          <w:p w14:paraId="23919628"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233A49B6" w14:textId="2D8E852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Ejotes</w:t>
            </w:r>
          </w:p>
        </w:tc>
        <w:tc>
          <w:tcPr>
            <w:tcW w:w="384" w:type="pct"/>
            <w:shd w:val="clear" w:color="auto" w:fill="auto"/>
            <w:noWrap/>
            <w:vAlign w:val="bottom"/>
            <w:hideMark/>
          </w:tcPr>
          <w:p w14:paraId="0E2A820B" w14:textId="62F5C42C"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7.63%</w:t>
            </w:r>
          </w:p>
        </w:tc>
        <w:tc>
          <w:tcPr>
            <w:tcW w:w="613" w:type="pct"/>
            <w:shd w:val="clear" w:color="auto" w:fill="auto"/>
            <w:noWrap/>
            <w:vAlign w:val="bottom"/>
            <w:hideMark/>
          </w:tcPr>
          <w:p w14:paraId="0FCB98F2" w14:textId="3805FAC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Pescado</w:t>
            </w:r>
          </w:p>
        </w:tc>
        <w:tc>
          <w:tcPr>
            <w:tcW w:w="347" w:type="pct"/>
            <w:shd w:val="clear" w:color="auto" w:fill="auto"/>
            <w:noWrap/>
            <w:vAlign w:val="bottom"/>
            <w:hideMark/>
          </w:tcPr>
          <w:p w14:paraId="10B73131" w14:textId="46BAAD25"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0.06%</w:t>
            </w:r>
          </w:p>
        </w:tc>
        <w:tc>
          <w:tcPr>
            <w:tcW w:w="814" w:type="pct"/>
            <w:shd w:val="clear" w:color="auto" w:fill="auto"/>
            <w:noWrap/>
            <w:vAlign w:val="bottom"/>
            <w:hideMark/>
          </w:tcPr>
          <w:p w14:paraId="5EE6DDE5" w14:textId="1AA74F77"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59DB83C4" w14:textId="655846C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555ACD6B" w14:textId="771F5CC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Derechos por el suministro…</w:t>
            </w:r>
          </w:p>
        </w:tc>
        <w:tc>
          <w:tcPr>
            <w:tcW w:w="340" w:type="pct"/>
            <w:shd w:val="clear" w:color="auto" w:fill="auto"/>
            <w:noWrap/>
            <w:vAlign w:val="bottom"/>
            <w:hideMark/>
          </w:tcPr>
          <w:p w14:paraId="17876C32" w14:textId="23A6B2D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0.18%</w:t>
            </w:r>
          </w:p>
        </w:tc>
      </w:tr>
      <w:tr w:rsidR="00F467AF" w:rsidRPr="00FC6D04" w14:paraId="0BC6A981" w14:textId="77777777" w:rsidTr="00F467AF">
        <w:trPr>
          <w:trHeight w:val="20"/>
        </w:trPr>
        <w:tc>
          <w:tcPr>
            <w:tcW w:w="450" w:type="pct"/>
            <w:vMerge/>
            <w:vAlign w:val="center"/>
            <w:hideMark/>
          </w:tcPr>
          <w:p w14:paraId="7D1DECB7"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000F22C5" w14:textId="71772C8A"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Jitomate</w:t>
            </w:r>
          </w:p>
        </w:tc>
        <w:tc>
          <w:tcPr>
            <w:tcW w:w="384" w:type="pct"/>
            <w:shd w:val="clear" w:color="auto" w:fill="auto"/>
            <w:noWrap/>
            <w:vAlign w:val="bottom"/>
            <w:hideMark/>
          </w:tcPr>
          <w:p w14:paraId="5FB57D76" w14:textId="57D3897B"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6.65%</w:t>
            </w:r>
          </w:p>
        </w:tc>
        <w:tc>
          <w:tcPr>
            <w:tcW w:w="613" w:type="pct"/>
            <w:shd w:val="clear" w:color="auto" w:fill="auto"/>
            <w:noWrap/>
            <w:vAlign w:val="bottom"/>
            <w:hideMark/>
          </w:tcPr>
          <w:p w14:paraId="509B03EA" w14:textId="725B3FFF"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Vísceras de res</w:t>
            </w:r>
          </w:p>
        </w:tc>
        <w:tc>
          <w:tcPr>
            <w:tcW w:w="347" w:type="pct"/>
            <w:shd w:val="clear" w:color="auto" w:fill="auto"/>
            <w:noWrap/>
            <w:vAlign w:val="bottom"/>
            <w:hideMark/>
          </w:tcPr>
          <w:p w14:paraId="65F20CA2" w14:textId="3C389E3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0.03%</w:t>
            </w:r>
          </w:p>
        </w:tc>
        <w:tc>
          <w:tcPr>
            <w:tcW w:w="814" w:type="pct"/>
            <w:shd w:val="clear" w:color="auto" w:fill="auto"/>
            <w:noWrap/>
            <w:vAlign w:val="bottom"/>
            <w:hideMark/>
          </w:tcPr>
          <w:p w14:paraId="11DBA0E2" w14:textId="79A19386"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31B7C582" w14:textId="553542C8"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7220EA09" w14:textId="4D3980BA"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Metro o transporte eléctrico</w:t>
            </w:r>
          </w:p>
        </w:tc>
        <w:tc>
          <w:tcPr>
            <w:tcW w:w="340" w:type="pct"/>
            <w:shd w:val="clear" w:color="auto" w:fill="auto"/>
            <w:noWrap/>
            <w:vAlign w:val="bottom"/>
            <w:hideMark/>
          </w:tcPr>
          <w:p w14:paraId="73BF44FE" w14:textId="1CC66301"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0.06%</w:t>
            </w:r>
          </w:p>
        </w:tc>
      </w:tr>
      <w:tr w:rsidR="00F467AF" w:rsidRPr="00FC6D04" w14:paraId="4658F18C" w14:textId="77777777" w:rsidTr="00F467AF">
        <w:trPr>
          <w:trHeight w:val="20"/>
        </w:trPr>
        <w:tc>
          <w:tcPr>
            <w:tcW w:w="450" w:type="pct"/>
            <w:vMerge/>
            <w:vAlign w:val="center"/>
            <w:hideMark/>
          </w:tcPr>
          <w:p w14:paraId="5F617C9F"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39F6D9E5" w14:textId="46247488"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Guayaba</w:t>
            </w:r>
          </w:p>
        </w:tc>
        <w:tc>
          <w:tcPr>
            <w:tcW w:w="384" w:type="pct"/>
            <w:shd w:val="clear" w:color="auto" w:fill="auto"/>
            <w:noWrap/>
            <w:vAlign w:val="bottom"/>
            <w:hideMark/>
          </w:tcPr>
          <w:p w14:paraId="4E1202E1" w14:textId="6D78993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6.42%</w:t>
            </w:r>
          </w:p>
        </w:tc>
        <w:tc>
          <w:tcPr>
            <w:tcW w:w="613" w:type="pct"/>
            <w:shd w:val="clear" w:color="auto" w:fill="auto"/>
            <w:noWrap/>
            <w:vAlign w:val="bottom"/>
            <w:hideMark/>
          </w:tcPr>
          <w:p w14:paraId="24053FAA" w14:textId="1FAC517C"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auto"/>
            <w:noWrap/>
            <w:vAlign w:val="bottom"/>
            <w:hideMark/>
          </w:tcPr>
          <w:p w14:paraId="786832FF" w14:textId="211B324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auto"/>
            <w:noWrap/>
            <w:vAlign w:val="bottom"/>
            <w:hideMark/>
          </w:tcPr>
          <w:p w14:paraId="50796376" w14:textId="46C0884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5BE98566" w14:textId="0B6903D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28AF8A99" w14:textId="379485D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auto"/>
            <w:noWrap/>
            <w:vAlign w:val="bottom"/>
            <w:hideMark/>
          </w:tcPr>
          <w:p w14:paraId="7164E2AD" w14:textId="5339B89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40FFBD68" w14:textId="77777777" w:rsidTr="00F467AF">
        <w:trPr>
          <w:trHeight w:val="20"/>
        </w:trPr>
        <w:tc>
          <w:tcPr>
            <w:tcW w:w="450" w:type="pct"/>
            <w:vMerge/>
            <w:vAlign w:val="center"/>
            <w:hideMark/>
          </w:tcPr>
          <w:p w14:paraId="5D375482"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2EB1F876" w14:textId="036B2870"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Melón</w:t>
            </w:r>
          </w:p>
        </w:tc>
        <w:tc>
          <w:tcPr>
            <w:tcW w:w="384" w:type="pct"/>
            <w:shd w:val="clear" w:color="auto" w:fill="auto"/>
            <w:noWrap/>
            <w:vAlign w:val="bottom"/>
            <w:hideMark/>
          </w:tcPr>
          <w:p w14:paraId="7C959CA8" w14:textId="7768C19C"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5.78%</w:t>
            </w:r>
          </w:p>
        </w:tc>
        <w:tc>
          <w:tcPr>
            <w:tcW w:w="613" w:type="pct"/>
            <w:shd w:val="clear" w:color="auto" w:fill="auto"/>
            <w:noWrap/>
            <w:vAlign w:val="bottom"/>
            <w:hideMark/>
          </w:tcPr>
          <w:p w14:paraId="12A7D86A" w14:textId="737EB643"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auto"/>
            <w:noWrap/>
            <w:vAlign w:val="bottom"/>
            <w:hideMark/>
          </w:tcPr>
          <w:p w14:paraId="4C2605E4" w14:textId="5FD1F11B"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auto"/>
            <w:noWrap/>
            <w:vAlign w:val="bottom"/>
            <w:hideMark/>
          </w:tcPr>
          <w:p w14:paraId="69BCDC2F" w14:textId="7D772B8C"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0D57E78C" w14:textId="15F5F29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005A8BA1" w14:textId="208631CE"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auto"/>
            <w:noWrap/>
            <w:vAlign w:val="bottom"/>
            <w:hideMark/>
          </w:tcPr>
          <w:p w14:paraId="2CAB4195" w14:textId="1E58984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3FFD0D13" w14:textId="77777777" w:rsidTr="00F467AF">
        <w:trPr>
          <w:trHeight w:val="20"/>
        </w:trPr>
        <w:tc>
          <w:tcPr>
            <w:tcW w:w="450" w:type="pct"/>
            <w:vMerge/>
            <w:vAlign w:val="center"/>
            <w:hideMark/>
          </w:tcPr>
          <w:p w14:paraId="2E122390"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08EB0A8E" w14:textId="7544501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Pera</w:t>
            </w:r>
          </w:p>
        </w:tc>
        <w:tc>
          <w:tcPr>
            <w:tcW w:w="384" w:type="pct"/>
            <w:shd w:val="clear" w:color="auto" w:fill="auto"/>
            <w:noWrap/>
            <w:vAlign w:val="bottom"/>
            <w:hideMark/>
          </w:tcPr>
          <w:p w14:paraId="3C00A8C0" w14:textId="27216EA3"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2.96%</w:t>
            </w:r>
          </w:p>
        </w:tc>
        <w:tc>
          <w:tcPr>
            <w:tcW w:w="613" w:type="pct"/>
            <w:shd w:val="clear" w:color="auto" w:fill="auto"/>
            <w:noWrap/>
            <w:vAlign w:val="bottom"/>
            <w:hideMark/>
          </w:tcPr>
          <w:p w14:paraId="0056AC50" w14:textId="7876C0D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auto"/>
            <w:noWrap/>
            <w:vAlign w:val="bottom"/>
            <w:hideMark/>
          </w:tcPr>
          <w:p w14:paraId="181D3562" w14:textId="0E65B86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auto"/>
            <w:noWrap/>
            <w:vAlign w:val="bottom"/>
            <w:hideMark/>
          </w:tcPr>
          <w:p w14:paraId="3395AC8C" w14:textId="49DF3D4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100944B2" w14:textId="4EE5584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4E9D1171" w14:textId="4903ABCF"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auto"/>
            <w:noWrap/>
            <w:vAlign w:val="bottom"/>
            <w:hideMark/>
          </w:tcPr>
          <w:p w14:paraId="7AB2FF67" w14:textId="193EAE1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5A88ED12" w14:textId="77777777" w:rsidTr="00F467AF">
        <w:trPr>
          <w:trHeight w:val="20"/>
        </w:trPr>
        <w:tc>
          <w:tcPr>
            <w:tcW w:w="450" w:type="pct"/>
            <w:vMerge/>
            <w:vAlign w:val="center"/>
            <w:hideMark/>
          </w:tcPr>
          <w:p w14:paraId="69EB7914"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0990D2AE" w14:textId="5D804AE3"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Otras verduras…</w:t>
            </w:r>
          </w:p>
        </w:tc>
        <w:tc>
          <w:tcPr>
            <w:tcW w:w="384" w:type="pct"/>
            <w:shd w:val="clear" w:color="auto" w:fill="auto"/>
            <w:noWrap/>
            <w:vAlign w:val="bottom"/>
            <w:hideMark/>
          </w:tcPr>
          <w:p w14:paraId="13EF0B98" w14:textId="0C8E7CBB"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1.93%</w:t>
            </w:r>
          </w:p>
        </w:tc>
        <w:tc>
          <w:tcPr>
            <w:tcW w:w="613" w:type="pct"/>
            <w:shd w:val="clear" w:color="auto" w:fill="auto"/>
            <w:noWrap/>
            <w:vAlign w:val="bottom"/>
            <w:hideMark/>
          </w:tcPr>
          <w:p w14:paraId="549C8A67" w14:textId="192D37C3"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auto"/>
            <w:noWrap/>
            <w:vAlign w:val="bottom"/>
            <w:hideMark/>
          </w:tcPr>
          <w:p w14:paraId="14767680" w14:textId="649BBBE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auto"/>
            <w:noWrap/>
            <w:vAlign w:val="bottom"/>
            <w:hideMark/>
          </w:tcPr>
          <w:p w14:paraId="1FACC140" w14:textId="6BE980B2"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417E894B" w14:textId="7851654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2E65E24E" w14:textId="58E0182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auto"/>
            <w:noWrap/>
            <w:vAlign w:val="bottom"/>
            <w:hideMark/>
          </w:tcPr>
          <w:p w14:paraId="15A79EEF" w14:textId="709CEFA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4EEEF90D" w14:textId="77777777" w:rsidTr="00F467AF">
        <w:trPr>
          <w:trHeight w:val="20"/>
        </w:trPr>
        <w:tc>
          <w:tcPr>
            <w:tcW w:w="450" w:type="pct"/>
            <w:vMerge/>
            <w:vAlign w:val="center"/>
            <w:hideMark/>
          </w:tcPr>
          <w:p w14:paraId="51FBB8DC"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auto"/>
            <w:noWrap/>
            <w:vAlign w:val="bottom"/>
            <w:hideMark/>
          </w:tcPr>
          <w:p w14:paraId="40EFAA49" w14:textId="2C8E996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Lechuga y col</w:t>
            </w:r>
          </w:p>
        </w:tc>
        <w:tc>
          <w:tcPr>
            <w:tcW w:w="384" w:type="pct"/>
            <w:shd w:val="clear" w:color="auto" w:fill="auto"/>
            <w:noWrap/>
            <w:vAlign w:val="bottom"/>
            <w:hideMark/>
          </w:tcPr>
          <w:p w14:paraId="45648E9B" w14:textId="30249653"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1.23%</w:t>
            </w:r>
          </w:p>
        </w:tc>
        <w:tc>
          <w:tcPr>
            <w:tcW w:w="613" w:type="pct"/>
            <w:shd w:val="clear" w:color="auto" w:fill="auto"/>
            <w:noWrap/>
            <w:vAlign w:val="bottom"/>
            <w:hideMark/>
          </w:tcPr>
          <w:p w14:paraId="3DBFB337" w14:textId="68FEA300"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auto"/>
            <w:noWrap/>
            <w:vAlign w:val="bottom"/>
            <w:hideMark/>
          </w:tcPr>
          <w:p w14:paraId="7E4B15D3" w14:textId="67719EC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auto"/>
            <w:noWrap/>
            <w:vAlign w:val="bottom"/>
            <w:hideMark/>
          </w:tcPr>
          <w:p w14:paraId="21913F7B" w14:textId="73396442"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auto"/>
            <w:noWrap/>
            <w:vAlign w:val="bottom"/>
            <w:hideMark/>
          </w:tcPr>
          <w:p w14:paraId="5C3D2707" w14:textId="49D29D7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auto"/>
            <w:noWrap/>
            <w:vAlign w:val="bottom"/>
            <w:hideMark/>
          </w:tcPr>
          <w:p w14:paraId="310F0D1D" w14:textId="129936BE"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auto"/>
            <w:noWrap/>
            <w:vAlign w:val="bottom"/>
            <w:hideMark/>
          </w:tcPr>
          <w:p w14:paraId="2976D5A6" w14:textId="17D49605"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7B5C055D" w14:textId="77777777" w:rsidTr="00F467AF">
        <w:trPr>
          <w:trHeight w:val="20"/>
        </w:trPr>
        <w:tc>
          <w:tcPr>
            <w:tcW w:w="450" w:type="pct"/>
            <w:vMerge w:val="restart"/>
            <w:shd w:val="clear" w:color="auto" w:fill="FFF9E7"/>
            <w:vAlign w:val="center"/>
            <w:hideMark/>
          </w:tcPr>
          <w:p w14:paraId="40D546F5" w14:textId="3ABA28AE" w:rsidR="00F467AF" w:rsidRPr="00FC6D04" w:rsidRDefault="006534A4" w:rsidP="00F467AF">
            <w:pPr>
              <w:jc w:val="center"/>
              <w:rPr>
                <w:rFonts w:asciiTheme="majorHAnsi" w:hAnsiTheme="majorHAnsi" w:cstheme="majorHAnsi"/>
                <w:color w:val="000000"/>
                <w:sz w:val="12"/>
                <w:szCs w:val="12"/>
                <w:lang w:eastAsia="es-MX"/>
              </w:rPr>
            </w:pPr>
            <w:r>
              <w:rPr>
                <w:rFonts w:asciiTheme="majorHAnsi" w:hAnsiTheme="majorHAnsi" w:cstheme="majorHAnsi"/>
                <w:color w:val="000000"/>
                <w:sz w:val="12"/>
                <w:szCs w:val="12"/>
                <w:lang w:eastAsia="es-MX"/>
              </w:rPr>
              <w:t>G</w:t>
            </w:r>
            <w:r w:rsidR="00F467AF" w:rsidRPr="00FC6D04">
              <w:rPr>
                <w:rFonts w:asciiTheme="majorHAnsi" w:hAnsiTheme="majorHAnsi" w:cstheme="majorHAnsi"/>
                <w:color w:val="000000"/>
                <w:sz w:val="12"/>
                <w:szCs w:val="12"/>
                <w:lang w:eastAsia="es-MX"/>
              </w:rPr>
              <w:t>enéricos con mayor caída</w:t>
            </w:r>
          </w:p>
        </w:tc>
        <w:tc>
          <w:tcPr>
            <w:tcW w:w="776" w:type="pct"/>
            <w:shd w:val="clear" w:color="auto" w:fill="FFF9E7"/>
            <w:noWrap/>
            <w:vAlign w:val="bottom"/>
            <w:hideMark/>
          </w:tcPr>
          <w:p w14:paraId="510FF9AC" w14:textId="0013A32A"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Papaya</w:t>
            </w:r>
          </w:p>
        </w:tc>
        <w:tc>
          <w:tcPr>
            <w:tcW w:w="384" w:type="pct"/>
            <w:shd w:val="clear" w:color="auto" w:fill="FFF9E7"/>
            <w:noWrap/>
            <w:vAlign w:val="bottom"/>
            <w:hideMark/>
          </w:tcPr>
          <w:p w14:paraId="6CEA1F10" w14:textId="6E8AFEB5"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-18.56%</w:t>
            </w:r>
          </w:p>
        </w:tc>
        <w:tc>
          <w:tcPr>
            <w:tcW w:w="613" w:type="pct"/>
            <w:shd w:val="clear" w:color="auto" w:fill="FFF9E7"/>
            <w:noWrap/>
            <w:vAlign w:val="bottom"/>
            <w:hideMark/>
          </w:tcPr>
          <w:p w14:paraId="6CB69202" w14:textId="58C4A93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Huevo</w:t>
            </w:r>
          </w:p>
        </w:tc>
        <w:tc>
          <w:tcPr>
            <w:tcW w:w="347" w:type="pct"/>
            <w:shd w:val="clear" w:color="auto" w:fill="FFF9E7"/>
            <w:noWrap/>
            <w:vAlign w:val="bottom"/>
            <w:hideMark/>
          </w:tcPr>
          <w:p w14:paraId="330C57D4" w14:textId="31029C21"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-0.72%</w:t>
            </w:r>
          </w:p>
        </w:tc>
        <w:tc>
          <w:tcPr>
            <w:tcW w:w="814" w:type="pct"/>
            <w:shd w:val="clear" w:color="auto" w:fill="FFF9E7"/>
            <w:noWrap/>
            <w:vAlign w:val="bottom"/>
            <w:hideMark/>
          </w:tcPr>
          <w:p w14:paraId="7B9238A7" w14:textId="5E828E44"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Electricidad</w:t>
            </w:r>
          </w:p>
        </w:tc>
        <w:tc>
          <w:tcPr>
            <w:tcW w:w="377" w:type="pct"/>
            <w:shd w:val="clear" w:color="auto" w:fill="FFF9E7"/>
            <w:noWrap/>
            <w:vAlign w:val="bottom"/>
            <w:hideMark/>
          </w:tcPr>
          <w:p w14:paraId="33945A4D" w14:textId="6B83F5E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-0.05%</w:t>
            </w:r>
          </w:p>
        </w:tc>
        <w:tc>
          <w:tcPr>
            <w:tcW w:w="899" w:type="pct"/>
            <w:shd w:val="clear" w:color="auto" w:fill="FFF9E7"/>
            <w:noWrap/>
            <w:vAlign w:val="bottom"/>
            <w:hideMark/>
          </w:tcPr>
          <w:p w14:paraId="5D590AB9" w14:textId="5056D21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3BFD3160" w14:textId="4094F99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453194C1" w14:textId="77777777" w:rsidTr="00F467AF">
        <w:trPr>
          <w:trHeight w:val="20"/>
        </w:trPr>
        <w:tc>
          <w:tcPr>
            <w:tcW w:w="450" w:type="pct"/>
            <w:vMerge/>
            <w:shd w:val="clear" w:color="auto" w:fill="FFF9E7"/>
            <w:vAlign w:val="center"/>
            <w:hideMark/>
          </w:tcPr>
          <w:p w14:paraId="1446CAA8"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7AD94AE5" w14:textId="1898E0DE"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Tomate verde</w:t>
            </w:r>
          </w:p>
        </w:tc>
        <w:tc>
          <w:tcPr>
            <w:tcW w:w="384" w:type="pct"/>
            <w:shd w:val="clear" w:color="auto" w:fill="FFF9E7"/>
            <w:noWrap/>
            <w:vAlign w:val="bottom"/>
            <w:hideMark/>
          </w:tcPr>
          <w:p w14:paraId="7D1B3869" w14:textId="1B9AAE3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-8.59%</w:t>
            </w:r>
          </w:p>
        </w:tc>
        <w:tc>
          <w:tcPr>
            <w:tcW w:w="613" w:type="pct"/>
            <w:shd w:val="clear" w:color="auto" w:fill="FFF9E7"/>
            <w:noWrap/>
            <w:vAlign w:val="bottom"/>
            <w:hideMark/>
          </w:tcPr>
          <w:p w14:paraId="185012DA" w14:textId="16A02F6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Camarón</w:t>
            </w:r>
          </w:p>
        </w:tc>
        <w:tc>
          <w:tcPr>
            <w:tcW w:w="347" w:type="pct"/>
            <w:shd w:val="clear" w:color="auto" w:fill="FFF9E7"/>
            <w:noWrap/>
            <w:vAlign w:val="bottom"/>
            <w:hideMark/>
          </w:tcPr>
          <w:p w14:paraId="52EFEEAA" w14:textId="19C86A7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-0.38%</w:t>
            </w:r>
          </w:p>
        </w:tc>
        <w:tc>
          <w:tcPr>
            <w:tcW w:w="814" w:type="pct"/>
            <w:shd w:val="clear" w:color="auto" w:fill="FFF9E7"/>
            <w:noWrap/>
            <w:vAlign w:val="bottom"/>
            <w:hideMark/>
          </w:tcPr>
          <w:p w14:paraId="59A3D5CF" w14:textId="69CA6EC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7D4E4F2C" w14:textId="07D04A7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4040372E" w14:textId="0A1D286E"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7A91C4A3" w14:textId="189CBB2F"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5401E412" w14:textId="77777777" w:rsidTr="00F467AF">
        <w:trPr>
          <w:trHeight w:val="20"/>
        </w:trPr>
        <w:tc>
          <w:tcPr>
            <w:tcW w:w="450" w:type="pct"/>
            <w:vMerge/>
            <w:shd w:val="clear" w:color="auto" w:fill="FFF9E7"/>
            <w:vAlign w:val="center"/>
            <w:hideMark/>
          </w:tcPr>
          <w:p w14:paraId="1A248D8D"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0757211C" w14:textId="6C9A37A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Chile serrano</w:t>
            </w:r>
          </w:p>
        </w:tc>
        <w:tc>
          <w:tcPr>
            <w:tcW w:w="384" w:type="pct"/>
            <w:shd w:val="clear" w:color="auto" w:fill="FFF9E7"/>
            <w:noWrap/>
            <w:vAlign w:val="bottom"/>
            <w:hideMark/>
          </w:tcPr>
          <w:p w14:paraId="349DDC34" w14:textId="4FB6450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-8.46%</w:t>
            </w:r>
          </w:p>
        </w:tc>
        <w:tc>
          <w:tcPr>
            <w:tcW w:w="613" w:type="pct"/>
            <w:shd w:val="clear" w:color="auto" w:fill="FFF9E7"/>
            <w:noWrap/>
            <w:vAlign w:val="bottom"/>
            <w:hideMark/>
          </w:tcPr>
          <w:p w14:paraId="2715971A" w14:textId="45DD17B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Manteca de cerdo</w:t>
            </w:r>
          </w:p>
        </w:tc>
        <w:tc>
          <w:tcPr>
            <w:tcW w:w="347" w:type="pct"/>
            <w:shd w:val="clear" w:color="auto" w:fill="FFF9E7"/>
            <w:noWrap/>
            <w:vAlign w:val="bottom"/>
            <w:hideMark/>
          </w:tcPr>
          <w:p w14:paraId="02527C9E" w14:textId="233173EA"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-0.06%</w:t>
            </w:r>
          </w:p>
        </w:tc>
        <w:tc>
          <w:tcPr>
            <w:tcW w:w="814" w:type="pct"/>
            <w:shd w:val="clear" w:color="auto" w:fill="FFF9E7"/>
            <w:noWrap/>
            <w:vAlign w:val="bottom"/>
            <w:hideMark/>
          </w:tcPr>
          <w:p w14:paraId="31836768" w14:textId="03ECDE7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1922C87E" w14:textId="2B266061"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66724DBB" w14:textId="57CAC990"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4A1CF578" w14:textId="2E12760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1958E27C" w14:textId="77777777" w:rsidTr="00F467AF">
        <w:trPr>
          <w:trHeight w:val="20"/>
        </w:trPr>
        <w:tc>
          <w:tcPr>
            <w:tcW w:w="450" w:type="pct"/>
            <w:vMerge/>
            <w:shd w:val="clear" w:color="auto" w:fill="FFF9E7"/>
            <w:vAlign w:val="center"/>
            <w:hideMark/>
          </w:tcPr>
          <w:p w14:paraId="67975A75"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34762521" w14:textId="418D6B40"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Zanahoria</w:t>
            </w:r>
          </w:p>
        </w:tc>
        <w:tc>
          <w:tcPr>
            <w:tcW w:w="384" w:type="pct"/>
            <w:shd w:val="clear" w:color="auto" w:fill="FFF9E7"/>
            <w:noWrap/>
            <w:vAlign w:val="bottom"/>
            <w:hideMark/>
          </w:tcPr>
          <w:p w14:paraId="337B28AC" w14:textId="7DC5BFD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-5.81%</w:t>
            </w:r>
          </w:p>
        </w:tc>
        <w:tc>
          <w:tcPr>
            <w:tcW w:w="613" w:type="pct"/>
            <w:shd w:val="clear" w:color="auto" w:fill="FFF9E7"/>
            <w:noWrap/>
            <w:vAlign w:val="bottom"/>
            <w:hideMark/>
          </w:tcPr>
          <w:p w14:paraId="16D4257B" w14:textId="7CEEA3C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63AE8EBD" w14:textId="12282D9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3AA6C532" w14:textId="3D940FA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2AE7F585" w14:textId="040D723B"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1FC2A771" w14:textId="4B90FED6"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099E4F67" w14:textId="09A81C4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1ABB2CEB" w14:textId="77777777" w:rsidTr="00F467AF">
        <w:trPr>
          <w:trHeight w:val="20"/>
        </w:trPr>
        <w:tc>
          <w:tcPr>
            <w:tcW w:w="450" w:type="pct"/>
            <w:vMerge/>
            <w:shd w:val="clear" w:color="auto" w:fill="FFF9E7"/>
            <w:vAlign w:val="center"/>
            <w:hideMark/>
          </w:tcPr>
          <w:p w14:paraId="01F56E24"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3F8F0C4E" w14:textId="23591EC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Otros chiles frescos</w:t>
            </w:r>
          </w:p>
        </w:tc>
        <w:tc>
          <w:tcPr>
            <w:tcW w:w="384" w:type="pct"/>
            <w:shd w:val="clear" w:color="auto" w:fill="FFF9E7"/>
            <w:noWrap/>
            <w:vAlign w:val="bottom"/>
            <w:hideMark/>
          </w:tcPr>
          <w:p w14:paraId="6DD7F323" w14:textId="5243C1AA"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-5.30%</w:t>
            </w:r>
          </w:p>
        </w:tc>
        <w:tc>
          <w:tcPr>
            <w:tcW w:w="613" w:type="pct"/>
            <w:shd w:val="clear" w:color="auto" w:fill="FFF9E7"/>
            <w:noWrap/>
            <w:vAlign w:val="bottom"/>
            <w:hideMark/>
          </w:tcPr>
          <w:p w14:paraId="10977EA7" w14:textId="47F9C240"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1EE286BD" w14:textId="6A0BFD2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7357D1BB" w14:textId="15AA8218"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0B15E14E" w14:textId="3F24B23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6171363D" w14:textId="71921CD3"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4F3AB83F" w14:textId="04A32EB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5D125FF6" w14:textId="77777777" w:rsidTr="00F467AF">
        <w:trPr>
          <w:trHeight w:val="20"/>
        </w:trPr>
        <w:tc>
          <w:tcPr>
            <w:tcW w:w="450" w:type="pct"/>
            <w:vMerge/>
            <w:shd w:val="clear" w:color="auto" w:fill="FFF9E7"/>
            <w:vAlign w:val="center"/>
            <w:hideMark/>
          </w:tcPr>
          <w:p w14:paraId="19B6F9A8"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1B94640C" w14:textId="3D1772E2"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Cebolla</w:t>
            </w:r>
          </w:p>
        </w:tc>
        <w:tc>
          <w:tcPr>
            <w:tcW w:w="384" w:type="pct"/>
            <w:shd w:val="clear" w:color="auto" w:fill="FFF9E7"/>
            <w:noWrap/>
            <w:vAlign w:val="bottom"/>
            <w:hideMark/>
          </w:tcPr>
          <w:p w14:paraId="26CED4D0" w14:textId="3EFFE21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-5.07%</w:t>
            </w:r>
          </w:p>
        </w:tc>
        <w:tc>
          <w:tcPr>
            <w:tcW w:w="613" w:type="pct"/>
            <w:shd w:val="clear" w:color="auto" w:fill="FFF9E7"/>
            <w:noWrap/>
            <w:vAlign w:val="bottom"/>
            <w:hideMark/>
          </w:tcPr>
          <w:p w14:paraId="67C6E8BB" w14:textId="308FFB9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54DB3E7A" w14:textId="49E3FD8F"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79F8A16A" w14:textId="2466D8E7"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52554A34" w14:textId="3035C391"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2D0C9FE8" w14:textId="1CD066E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585F5A27" w14:textId="3B4E4C97"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08776F54" w14:textId="77777777" w:rsidTr="00F467AF">
        <w:trPr>
          <w:trHeight w:val="20"/>
        </w:trPr>
        <w:tc>
          <w:tcPr>
            <w:tcW w:w="450" w:type="pct"/>
            <w:vMerge/>
            <w:shd w:val="clear" w:color="auto" w:fill="FFF9E7"/>
            <w:vAlign w:val="center"/>
            <w:hideMark/>
          </w:tcPr>
          <w:p w14:paraId="24F83962"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61BE3659" w14:textId="4AD6F4B4"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Nopales</w:t>
            </w:r>
          </w:p>
        </w:tc>
        <w:tc>
          <w:tcPr>
            <w:tcW w:w="384" w:type="pct"/>
            <w:shd w:val="clear" w:color="auto" w:fill="FFF9E7"/>
            <w:noWrap/>
            <w:vAlign w:val="bottom"/>
            <w:hideMark/>
          </w:tcPr>
          <w:p w14:paraId="5937D4B0" w14:textId="6577E53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-4.83%</w:t>
            </w:r>
          </w:p>
        </w:tc>
        <w:tc>
          <w:tcPr>
            <w:tcW w:w="613" w:type="pct"/>
            <w:shd w:val="clear" w:color="auto" w:fill="FFF9E7"/>
            <w:noWrap/>
            <w:vAlign w:val="bottom"/>
            <w:hideMark/>
          </w:tcPr>
          <w:p w14:paraId="4DE75468" w14:textId="02838838"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3E9DE5E9" w14:textId="1E2A2145"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4A89E41A" w14:textId="4907B73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270085B9" w14:textId="00A35B8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5A16E099" w14:textId="3AF021A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3AB337FB" w14:textId="370D66F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3E75EBD1" w14:textId="77777777" w:rsidTr="00F467AF">
        <w:trPr>
          <w:trHeight w:val="20"/>
        </w:trPr>
        <w:tc>
          <w:tcPr>
            <w:tcW w:w="450" w:type="pct"/>
            <w:vMerge/>
            <w:shd w:val="clear" w:color="auto" w:fill="FFF9E7"/>
            <w:vAlign w:val="center"/>
            <w:hideMark/>
          </w:tcPr>
          <w:p w14:paraId="68F6A681"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595E9D85" w14:textId="70DCB5A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Pepino</w:t>
            </w:r>
          </w:p>
        </w:tc>
        <w:tc>
          <w:tcPr>
            <w:tcW w:w="384" w:type="pct"/>
            <w:shd w:val="clear" w:color="auto" w:fill="FFF9E7"/>
            <w:noWrap/>
            <w:vAlign w:val="bottom"/>
            <w:hideMark/>
          </w:tcPr>
          <w:p w14:paraId="1DCDDE6C" w14:textId="2B148EC7"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-3.92%</w:t>
            </w:r>
          </w:p>
        </w:tc>
        <w:tc>
          <w:tcPr>
            <w:tcW w:w="613" w:type="pct"/>
            <w:shd w:val="clear" w:color="auto" w:fill="FFF9E7"/>
            <w:noWrap/>
            <w:vAlign w:val="bottom"/>
            <w:hideMark/>
          </w:tcPr>
          <w:p w14:paraId="7DDA864F" w14:textId="3D28B129"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435F83ED" w14:textId="5E63BF7F"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4255056C" w14:textId="765AF021"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52BDD068" w14:textId="3BED5A08"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56F10D42" w14:textId="74B10D5B"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789670E5" w14:textId="702DAC89"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0A812721" w14:textId="77777777" w:rsidTr="00F467AF">
        <w:trPr>
          <w:trHeight w:val="20"/>
        </w:trPr>
        <w:tc>
          <w:tcPr>
            <w:tcW w:w="450" w:type="pct"/>
            <w:vMerge/>
            <w:shd w:val="clear" w:color="auto" w:fill="FFF9E7"/>
            <w:vAlign w:val="center"/>
            <w:hideMark/>
          </w:tcPr>
          <w:p w14:paraId="4CE476AF"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73A9F588" w14:textId="0ECF69F7"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Piña</w:t>
            </w:r>
          </w:p>
        </w:tc>
        <w:tc>
          <w:tcPr>
            <w:tcW w:w="384" w:type="pct"/>
            <w:shd w:val="clear" w:color="auto" w:fill="FFF9E7"/>
            <w:noWrap/>
            <w:vAlign w:val="bottom"/>
            <w:hideMark/>
          </w:tcPr>
          <w:p w14:paraId="5A3D5A11" w14:textId="76E04116"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-3.83%</w:t>
            </w:r>
          </w:p>
        </w:tc>
        <w:tc>
          <w:tcPr>
            <w:tcW w:w="613" w:type="pct"/>
            <w:shd w:val="clear" w:color="auto" w:fill="FFF9E7"/>
            <w:noWrap/>
            <w:vAlign w:val="bottom"/>
            <w:hideMark/>
          </w:tcPr>
          <w:p w14:paraId="7EB51B29" w14:textId="3D6F7655"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04DFDDB2" w14:textId="4F42B50F"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1B48BB6D" w14:textId="35A6BF66"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504AFC32" w14:textId="5A1B19A0"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67B9DB76" w14:textId="58AB45DD"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60251AC7" w14:textId="5B82C554"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r w:rsidR="00F467AF" w:rsidRPr="00FC6D04" w14:paraId="50C0F5CC" w14:textId="77777777" w:rsidTr="00F467AF">
        <w:trPr>
          <w:trHeight w:val="20"/>
        </w:trPr>
        <w:tc>
          <w:tcPr>
            <w:tcW w:w="450" w:type="pct"/>
            <w:vMerge/>
            <w:shd w:val="clear" w:color="auto" w:fill="FFF9E7"/>
            <w:vAlign w:val="center"/>
            <w:hideMark/>
          </w:tcPr>
          <w:p w14:paraId="17C6C082" w14:textId="77777777" w:rsidR="00F467AF" w:rsidRPr="00FC6D04" w:rsidRDefault="00F467AF" w:rsidP="00F467AF">
            <w:pPr>
              <w:rPr>
                <w:rFonts w:asciiTheme="majorHAnsi" w:hAnsiTheme="majorHAnsi" w:cstheme="majorHAnsi"/>
                <w:color w:val="000000"/>
                <w:sz w:val="12"/>
                <w:szCs w:val="12"/>
                <w:lang w:eastAsia="es-MX"/>
              </w:rPr>
            </w:pPr>
          </w:p>
        </w:tc>
        <w:tc>
          <w:tcPr>
            <w:tcW w:w="776" w:type="pct"/>
            <w:shd w:val="clear" w:color="auto" w:fill="FFF9E7"/>
            <w:noWrap/>
            <w:vAlign w:val="bottom"/>
            <w:hideMark/>
          </w:tcPr>
          <w:p w14:paraId="3ED3F273" w14:textId="19A896A6"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Limón</w:t>
            </w:r>
          </w:p>
        </w:tc>
        <w:tc>
          <w:tcPr>
            <w:tcW w:w="384" w:type="pct"/>
            <w:shd w:val="clear" w:color="auto" w:fill="FFF9E7"/>
            <w:noWrap/>
            <w:vAlign w:val="bottom"/>
            <w:hideMark/>
          </w:tcPr>
          <w:p w14:paraId="6408FA98" w14:textId="122672AD"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-3.62%</w:t>
            </w:r>
          </w:p>
        </w:tc>
        <w:tc>
          <w:tcPr>
            <w:tcW w:w="613" w:type="pct"/>
            <w:shd w:val="clear" w:color="auto" w:fill="FFF9E7"/>
            <w:noWrap/>
            <w:vAlign w:val="bottom"/>
            <w:hideMark/>
          </w:tcPr>
          <w:p w14:paraId="47828ABC" w14:textId="64F2DB8C"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7" w:type="pct"/>
            <w:shd w:val="clear" w:color="auto" w:fill="FFF9E7"/>
            <w:noWrap/>
            <w:vAlign w:val="bottom"/>
            <w:hideMark/>
          </w:tcPr>
          <w:p w14:paraId="76112F40" w14:textId="6FED5432"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14" w:type="pct"/>
            <w:shd w:val="clear" w:color="auto" w:fill="FFF9E7"/>
            <w:noWrap/>
            <w:vAlign w:val="bottom"/>
            <w:hideMark/>
          </w:tcPr>
          <w:p w14:paraId="0C4EAC1B" w14:textId="3F3731EF"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77" w:type="pct"/>
            <w:shd w:val="clear" w:color="auto" w:fill="FFF9E7"/>
            <w:noWrap/>
            <w:vAlign w:val="bottom"/>
            <w:hideMark/>
          </w:tcPr>
          <w:p w14:paraId="412D330B" w14:textId="22A7280E"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899" w:type="pct"/>
            <w:shd w:val="clear" w:color="auto" w:fill="FFF9E7"/>
            <w:noWrap/>
            <w:vAlign w:val="bottom"/>
            <w:hideMark/>
          </w:tcPr>
          <w:p w14:paraId="7E0BFF6A" w14:textId="1CD7ED34" w:rsidR="00F467AF" w:rsidRPr="00FD6E56" w:rsidRDefault="00F467AF" w:rsidP="00F467AF">
            <w:pP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c>
          <w:tcPr>
            <w:tcW w:w="340" w:type="pct"/>
            <w:shd w:val="clear" w:color="auto" w:fill="FFF9E7"/>
            <w:noWrap/>
            <w:vAlign w:val="bottom"/>
            <w:hideMark/>
          </w:tcPr>
          <w:p w14:paraId="2D527E38" w14:textId="61A2B8B7" w:rsidR="00F467AF" w:rsidRPr="00FD6E56" w:rsidRDefault="00F467AF" w:rsidP="00F467AF">
            <w:pPr>
              <w:jc w:val="center"/>
              <w:rPr>
                <w:rFonts w:asciiTheme="majorHAnsi" w:hAnsiTheme="majorHAnsi" w:cstheme="majorHAnsi"/>
                <w:color w:val="FF0000"/>
                <w:sz w:val="12"/>
                <w:szCs w:val="12"/>
                <w:lang w:eastAsia="es-MX"/>
              </w:rPr>
            </w:pPr>
            <w:r>
              <w:rPr>
                <w:rFonts w:ascii="Leelawadee UI" w:hAnsi="Leelawadee UI" w:cs="Leelawadee UI"/>
                <w:color w:val="000000"/>
                <w:sz w:val="12"/>
                <w:szCs w:val="12"/>
              </w:rPr>
              <w:t> </w:t>
            </w:r>
          </w:p>
        </w:tc>
      </w:tr>
    </w:tbl>
    <w:p w14:paraId="15A26994" w14:textId="61B8B301" w:rsidR="00393476" w:rsidRDefault="00393476" w:rsidP="00393476">
      <w:pPr>
        <w:rPr>
          <w:rFonts w:asciiTheme="majorHAnsi" w:hAnsiTheme="majorHAnsi" w:cstheme="majorHAnsi"/>
          <w:sz w:val="20"/>
          <w:szCs w:val="22"/>
        </w:rPr>
      </w:pPr>
      <w:r w:rsidRPr="00FC6D04">
        <w:rPr>
          <w:rFonts w:asciiTheme="majorHAnsi" w:hAnsiTheme="majorHAnsi" w:cstheme="majorHAnsi"/>
          <w:sz w:val="20"/>
          <w:szCs w:val="22"/>
        </w:rPr>
        <w:t>Fuente: Grupo Financiero BASE con información de INEGI.</w:t>
      </w:r>
    </w:p>
    <w:p w14:paraId="1182F941" w14:textId="618784C3" w:rsidR="00C54CB1" w:rsidRPr="0045395E" w:rsidRDefault="00C54CB1" w:rsidP="00393476">
      <w:pPr>
        <w:rPr>
          <w:rFonts w:asciiTheme="majorHAnsi" w:hAnsiTheme="majorHAnsi" w:cstheme="majorHAnsi"/>
          <w:sz w:val="16"/>
          <w:szCs w:val="16"/>
        </w:rPr>
      </w:pPr>
    </w:p>
    <w:p w14:paraId="7F8C5777" w14:textId="5ED6B894" w:rsidR="00C54CB1" w:rsidRPr="00731722" w:rsidRDefault="00C54CB1" w:rsidP="00C54CB1">
      <w:pPr>
        <w:pStyle w:val="Prrafodelista"/>
        <w:numPr>
          <w:ilvl w:val="0"/>
          <w:numId w:val="15"/>
        </w:numPr>
        <w:jc w:val="both"/>
        <w:rPr>
          <w:rFonts w:ascii="Calibri" w:eastAsia="Calibri" w:hAnsi="Calibri"/>
          <w:b/>
          <w:lang w:val="es-MX"/>
        </w:rPr>
      </w:pPr>
      <w:r w:rsidRPr="00731722">
        <w:rPr>
          <w:rFonts w:ascii="Calibri" w:eastAsia="Calibri" w:hAnsi="Calibri"/>
          <w:b/>
          <w:lang w:val="es-MX"/>
        </w:rPr>
        <w:t xml:space="preserve">Inflación de México a la 1ra quincena de </w:t>
      </w:r>
      <w:r w:rsidR="00D21593" w:rsidRPr="00731722">
        <w:rPr>
          <w:rFonts w:ascii="Calibri" w:eastAsia="Calibri" w:hAnsi="Calibri"/>
          <w:b/>
          <w:lang w:val="es-MX"/>
        </w:rPr>
        <w:t>diciembre</w:t>
      </w:r>
      <w:r w:rsidRPr="00731722">
        <w:rPr>
          <w:rFonts w:ascii="Calibri" w:eastAsia="Calibri" w:hAnsi="Calibri"/>
          <w:b/>
          <w:lang w:val="es-MX"/>
        </w:rPr>
        <w:t>, variación anual</w:t>
      </w:r>
    </w:p>
    <w:p w14:paraId="4604692A" w14:textId="56A9AF62" w:rsidR="00C54CB1" w:rsidRPr="0045395E" w:rsidRDefault="0045395E" w:rsidP="00C54CB1">
      <w:pPr>
        <w:jc w:val="both"/>
        <w:rPr>
          <w:rFonts w:ascii="Calibri" w:eastAsia="Calibri" w:hAnsi="Calibri"/>
          <w:bCs/>
          <w:sz w:val="16"/>
          <w:szCs w:val="16"/>
          <w:lang w:val="es-MX"/>
        </w:rPr>
      </w:pPr>
      <w:r w:rsidRPr="0045395E">
        <w:rPr>
          <w:noProof/>
        </w:rPr>
        <w:drawing>
          <wp:anchor distT="0" distB="0" distL="114300" distR="114300" simplePos="0" relativeHeight="251661312" behindDoc="0" locked="0" layoutInCell="1" allowOverlap="1" wp14:anchorId="764EA342" wp14:editId="0AB8EB87">
            <wp:simplePos x="0" y="0"/>
            <wp:positionH relativeFrom="column">
              <wp:posOffset>3398520</wp:posOffset>
            </wp:positionH>
            <wp:positionV relativeFrom="paragraph">
              <wp:posOffset>122624</wp:posOffset>
            </wp:positionV>
            <wp:extent cx="2519680" cy="2519680"/>
            <wp:effectExtent l="0" t="0" r="0" b="0"/>
            <wp:wrapSquare wrapText="bothSides"/>
            <wp:docPr id="909530349" name="Gráfico 1">
              <a:extLst xmlns:a="http://schemas.openxmlformats.org/drawingml/2006/main">
                <a:ext uri="{FF2B5EF4-FFF2-40B4-BE49-F238E27FC236}">
                  <a16:creationId xmlns:a16="http://schemas.microsoft.com/office/drawing/2014/main" id="{37852129-123C-4074-8A46-14E0DDA68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1C0FD938" w14:textId="6BCD0A3A" w:rsidR="008C08CE" w:rsidRPr="00F467AF" w:rsidRDefault="00063FAE" w:rsidP="00C54CB1">
      <w:pPr>
        <w:jc w:val="both"/>
        <w:rPr>
          <w:rFonts w:ascii="Calibri" w:eastAsia="Calibri" w:hAnsi="Calibri"/>
          <w:bCs/>
          <w:sz w:val="20"/>
          <w:szCs w:val="20"/>
          <w:lang w:val="es-MX"/>
        </w:rPr>
      </w:pPr>
      <w:r w:rsidRPr="00F467AF">
        <w:rPr>
          <w:rFonts w:ascii="Calibri" w:eastAsia="Calibri" w:hAnsi="Calibri"/>
          <w:bCs/>
          <w:sz w:val="20"/>
          <w:szCs w:val="20"/>
          <w:lang w:val="es-MX"/>
        </w:rPr>
        <w:t>La</w:t>
      </w:r>
      <w:r w:rsidR="00C54CB1" w:rsidRPr="00F467AF">
        <w:rPr>
          <w:rFonts w:ascii="Calibri" w:eastAsia="Calibri" w:hAnsi="Calibri"/>
          <w:bCs/>
          <w:sz w:val="20"/>
          <w:szCs w:val="20"/>
          <w:lang w:val="es-MX"/>
        </w:rPr>
        <w:t xml:space="preserve"> </w:t>
      </w:r>
      <w:r w:rsidR="00C54CB1" w:rsidRPr="00F467AF">
        <w:rPr>
          <w:rFonts w:ascii="Calibri" w:eastAsia="Calibri" w:hAnsi="Calibri"/>
          <w:b/>
          <w:sz w:val="20"/>
          <w:szCs w:val="20"/>
          <w:lang w:val="es-MX"/>
        </w:rPr>
        <w:t>inflación de México</w:t>
      </w:r>
      <w:r w:rsidR="00C54CB1" w:rsidRPr="00F467AF">
        <w:rPr>
          <w:rFonts w:ascii="Calibri" w:eastAsia="Calibri" w:hAnsi="Calibri"/>
          <w:bCs/>
          <w:sz w:val="20"/>
          <w:szCs w:val="20"/>
          <w:lang w:val="es-MX"/>
        </w:rPr>
        <w:t xml:space="preserve"> se </w:t>
      </w:r>
      <w:r w:rsidRPr="00F467AF">
        <w:rPr>
          <w:rFonts w:ascii="Calibri" w:eastAsia="Calibri" w:hAnsi="Calibri"/>
          <w:bCs/>
          <w:sz w:val="20"/>
          <w:szCs w:val="20"/>
          <w:lang w:val="es-MX"/>
        </w:rPr>
        <w:t>ubicó</w:t>
      </w:r>
      <w:r w:rsidR="00C54CB1" w:rsidRPr="00F467AF">
        <w:rPr>
          <w:rFonts w:ascii="Calibri" w:eastAsia="Calibri" w:hAnsi="Calibri"/>
          <w:bCs/>
          <w:sz w:val="20"/>
          <w:szCs w:val="20"/>
          <w:lang w:val="es-MX"/>
        </w:rPr>
        <w:t xml:space="preserve"> en una tasa anual de 4.</w:t>
      </w:r>
      <w:r w:rsidR="00832695" w:rsidRPr="00F467AF">
        <w:rPr>
          <w:rFonts w:ascii="Calibri" w:eastAsia="Calibri" w:hAnsi="Calibri"/>
          <w:bCs/>
          <w:sz w:val="20"/>
          <w:szCs w:val="20"/>
          <w:lang w:val="es-MX"/>
        </w:rPr>
        <w:t>44</w:t>
      </w:r>
      <w:r w:rsidR="00C54CB1" w:rsidRPr="00F467AF">
        <w:rPr>
          <w:rFonts w:ascii="Calibri" w:eastAsia="Calibri" w:hAnsi="Calibri"/>
          <w:bCs/>
          <w:sz w:val="20"/>
          <w:szCs w:val="20"/>
          <w:lang w:val="es-MX"/>
        </w:rPr>
        <w:t>%</w:t>
      </w:r>
      <w:r w:rsidR="00E07B15" w:rsidRPr="00F467AF">
        <w:rPr>
          <w:rFonts w:ascii="Calibri" w:eastAsia="Calibri" w:hAnsi="Calibri"/>
          <w:bCs/>
          <w:sz w:val="20"/>
          <w:szCs w:val="20"/>
          <w:lang w:val="es-MX"/>
        </w:rPr>
        <w:t xml:space="preserve"> (Figura </w:t>
      </w:r>
      <w:r w:rsidR="00731722" w:rsidRPr="00F467AF">
        <w:rPr>
          <w:rFonts w:ascii="Calibri" w:eastAsia="Calibri" w:hAnsi="Calibri"/>
          <w:bCs/>
          <w:sz w:val="20"/>
          <w:szCs w:val="20"/>
          <w:lang w:val="es-MX"/>
        </w:rPr>
        <w:t>5</w:t>
      </w:r>
      <w:r w:rsidR="00E07B15" w:rsidRPr="00F467AF">
        <w:rPr>
          <w:rFonts w:ascii="Calibri" w:eastAsia="Calibri" w:hAnsi="Calibri"/>
          <w:bCs/>
          <w:sz w:val="20"/>
          <w:szCs w:val="20"/>
          <w:lang w:val="es-MX"/>
        </w:rPr>
        <w:t>)</w:t>
      </w:r>
      <w:r w:rsidR="005633C5" w:rsidRPr="00F467AF">
        <w:rPr>
          <w:rFonts w:ascii="Calibri" w:eastAsia="Calibri" w:hAnsi="Calibri"/>
          <w:bCs/>
          <w:sz w:val="20"/>
          <w:szCs w:val="20"/>
          <w:lang w:val="es-MX"/>
        </w:rPr>
        <w:t xml:space="preserve">, </w:t>
      </w:r>
      <w:r w:rsidR="005633C5" w:rsidRPr="00F467AF">
        <w:rPr>
          <w:rFonts w:ascii="Calibri" w:eastAsia="Calibri" w:hAnsi="Calibri"/>
          <w:bCs/>
          <w:sz w:val="20"/>
          <w:szCs w:val="20"/>
          <w:lang w:val="es-MX"/>
        </w:rPr>
        <w:t xml:space="preserve">desacelerándose por tercera quincena consecutiva y alcanzando su menor tasa desde la segunda quincena de marzo (4.37%). </w:t>
      </w:r>
    </w:p>
    <w:p w14:paraId="36781EE2" w14:textId="1518F5A8" w:rsidR="005C5CBD" w:rsidRPr="00F467AF" w:rsidRDefault="005C5CBD" w:rsidP="00C54CB1">
      <w:pPr>
        <w:jc w:val="both"/>
        <w:rPr>
          <w:rFonts w:ascii="Calibri" w:eastAsia="Calibri" w:hAnsi="Calibri"/>
          <w:bCs/>
          <w:color w:val="FF0000"/>
          <w:sz w:val="20"/>
          <w:szCs w:val="20"/>
          <w:lang w:val="es-MX"/>
        </w:rPr>
      </w:pPr>
    </w:p>
    <w:p w14:paraId="132764CB" w14:textId="0A67E933" w:rsidR="00C54CB1" w:rsidRDefault="00971BC5" w:rsidP="00C54CB1">
      <w:pPr>
        <w:jc w:val="both"/>
        <w:rPr>
          <w:rFonts w:ascii="Calibri" w:eastAsia="Calibri" w:hAnsi="Calibri"/>
          <w:bCs/>
          <w:sz w:val="20"/>
          <w:szCs w:val="20"/>
          <w:lang w:val="es-MX"/>
        </w:rPr>
      </w:pPr>
      <w:r w:rsidRPr="00F467AF">
        <w:rPr>
          <w:rFonts w:ascii="Calibri" w:eastAsia="Calibri" w:hAnsi="Calibri"/>
          <w:bCs/>
          <w:sz w:val="20"/>
          <w:szCs w:val="20"/>
          <w:lang w:val="es-MX"/>
        </w:rPr>
        <w:t xml:space="preserve">Por un lado, </w:t>
      </w:r>
      <w:r w:rsidRPr="00F467AF">
        <w:rPr>
          <w:rFonts w:ascii="Calibri" w:eastAsia="Calibri" w:hAnsi="Calibri"/>
          <w:bCs/>
          <w:sz w:val="20"/>
          <w:szCs w:val="20"/>
          <w:lang w:val="es-MX"/>
        </w:rPr>
        <w:t xml:space="preserve">el </w:t>
      </w:r>
      <w:r w:rsidRPr="00F467AF">
        <w:rPr>
          <w:rFonts w:ascii="Calibri" w:eastAsia="Calibri" w:hAnsi="Calibri"/>
          <w:b/>
          <w:sz w:val="20"/>
          <w:szCs w:val="20"/>
          <w:lang w:val="es-MX"/>
        </w:rPr>
        <w:t>componente subyacente</w:t>
      </w:r>
      <w:r w:rsidRPr="00F467AF">
        <w:rPr>
          <w:rFonts w:ascii="Calibri" w:eastAsia="Calibri" w:hAnsi="Calibri"/>
          <w:bCs/>
          <w:sz w:val="20"/>
          <w:szCs w:val="20"/>
          <w:lang w:val="es-MX"/>
        </w:rPr>
        <w:t xml:space="preserve"> registró una inflación anual de 3.62%</w:t>
      </w:r>
      <w:r w:rsidR="00A90897" w:rsidRPr="00F467AF">
        <w:rPr>
          <w:rFonts w:ascii="Calibri" w:eastAsia="Calibri" w:hAnsi="Calibri"/>
          <w:bCs/>
          <w:sz w:val="20"/>
          <w:szCs w:val="20"/>
          <w:lang w:val="es-MX"/>
        </w:rPr>
        <w:t xml:space="preserve"> (Figura 5)</w:t>
      </w:r>
      <w:r w:rsidRPr="00F467AF">
        <w:rPr>
          <w:rFonts w:ascii="Calibri" w:eastAsia="Calibri" w:hAnsi="Calibri"/>
          <w:bCs/>
          <w:sz w:val="20"/>
          <w:szCs w:val="20"/>
          <w:lang w:val="es-MX"/>
        </w:rPr>
        <w:t>, rompiendo una racha de 6 quincenas seguidas de desaceleración.</w:t>
      </w:r>
      <w:r w:rsidR="00BA315C" w:rsidRPr="00F467AF">
        <w:rPr>
          <w:rFonts w:ascii="Calibri" w:eastAsia="Calibri" w:hAnsi="Calibri"/>
          <w:bCs/>
          <w:sz w:val="20"/>
          <w:szCs w:val="20"/>
          <w:lang w:val="es-MX"/>
        </w:rPr>
        <w:t xml:space="preserve"> </w:t>
      </w:r>
      <w:r w:rsidR="00A90897" w:rsidRPr="00F467AF">
        <w:rPr>
          <w:rFonts w:ascii="Calibri" w:eastAsia="Calibri" w:hAnsi="Calibri"/>
          <w:bCs/>
          <w:sz w:val="20"/>
          <w:szCs w:val="20"/>
          <w:lang w:val="es-MX"/>
        </w:rPr>
        <w:t xml:space="preserve">Por su parte, en el </w:t>
      </w:r>
      <w:r w:rsidR="00A90897" w:rsidRPr="00F467AF">
        <w:rPr>
          <w:rFonts w:ascii="Calibri" w:eastAsia="Calibri" w:hAnsi="Calibri"/>
          <w:b/>
          <w:sz w:val="20"/>
          <w:szCs w:val="20"/>
          <w:lang w:val="es-MX"/>
        </w:rPr>
        <w:t>componente no subyacente</w:t>
      </w:r>
      <w:r w:rsidR="00A90897" w:rsidRPr="00F467AF">
        <w:rPr>
          <w:rFonts w:ascii="Calibri" w:eastAsia="Calibri" w:hAnsi="Calibri"/>
          <w:bCs/>
          <w:sz w:val="20"/>
          <w:szCs w:val="20"/>
          <w:lang w:val="es-MX"/>
        </w:rPr>
        <w:t xml:space="preserve"> se observó una inflación anual de 7.00%</w:t>
      </w:r>
      <w:r w:rsidR="00A90897" w:rsidRPr="00F467AF">
        <w:rPr>
          <w:rFonts w:ascii="Calibri" w:eastAsia="Calibri" w:hAnsi="Calibri"/>
          <w:bCs/>
          <w:sz w:val="20"/>
          <w:szCs w:val="20"/>
          <w:lang w:val="es-MX"/>
        </w:rPr>
        <w:t xml:space="preserve"> (Figura 5)</w:t>
      </w:r>
      <w:r w:rsidR="00A90897" w:rsidRPr="00F467AF">
        <w:rPr>
          <w:rFonts w:ascii="Calibri" w:eastAsia="Calibri" w:hAnsi="Calibri"/>
          <w:bCs/>
          <w:sz w:val="20"/>
          <w:szCs w:val="20"/>
          <w:lang w:val="es-MX"/>
        </w:rPr>
        <w:t xml:space="preserve"> </w:t>
      </w:r>
      <w:r w:rsidR="00A90897" w:rsidRPr="00F467AF">
        <w:rPr>
          <w:rFonts w:ascii="Calibri" w:eastAsia="Calibri" w:hAnsi="Calibri"/>
          <w:bCs/>
          <w:sz w:val="20"/>
          <w:szCs w:val="20"/>
          <w:lang w:val="es-MX"/>
        </w:rPr>
        <w:t xml:space="preserve">que, a pesar de mantenerse en un nivel elevado, se trata de </w:t>
      </w:r>
      <w:r w:rsidR="00A90897" w:rsidRPr="00F467AF">
        <w:rPr>
          <w:rFonts w:ascii="Calibri" w:eastAsia="Calibri" w:hAnsi="Calibri"/>
          <w:bCs/>
          <w:sz w:val="20"/>
          <w:szCs w:val="20"/>
          <w:lang w:val="es-MX"/>
        </w:rPr>
        <w:t xml:space="preserve">la menor </w:t>
      </w:r>
      <w:r w:rsidR="00A90897" w:rsidRPr="00F467AF">
        <w:rPr>
          <w:rFonts w:ascii="Calibri" w:eastAsia="Calibri" w:hAnsi="Calibri"/>
          <w:bCs/>
          <w:sz w:val="20"/>
          <w:szCs w:val="20"/>
          <w:lang w:val="es-MX"/>
        </w:rPr>
        <w:t xml:space="preserve">inflación </w:t>
      </w:r>
      <w:r w:rsidR="00A90897" w:rsidRPr="00F467AF">
        <w:rPr>
          <w:rFonts w:ascii="Calibri" w:eastAsia="Calibri" w:hAnsi="Calibri"/>
          <w:bCs/>
          <w:sz w:val="20"/>
          <w:szCs w:val="20"/>
          <w:lang w:val="es-MX"/>
        </w:rPr>
        <w:t>desde la segunda quincena de septiembre y la tercera quincena consecutiva</w:t>
      </w:r>
      <w:r w:rsidR="00A90897" w:rsidRPr="00510CB1">
        <w:rPr>
          <w:rFonts w:ascii="Calibri" w:eastAsia="Calibri" w:hAnsi="Calibri"/>
          <w:bCs/>
          <w:sz w:val="20"/>
          <w:szCs w:val="20"/>
          <w:lang w:val="es-MX"/>
        </w:rPr>
        <w:t xml:space="preserve"> con </w:t>
      </w:r>
      <w:r w:rsidR="00A90897" w:rsidRPr="00510CB1">
        <w:rPr>
          <w:rFonts w:ascii="Calibri" w:eastAsia="Calibri" w:hAnsi="Calibri"/>
          <w:bCs/>
          <w:sz w:val="20"/>
          <w:szCs w:val="20"/>
          <w:lang w:val="es-MX"/>
        </w:rPr>
        <w:t>aceleración</w:t>
      </w:r>
      <w:r w:rsidR="00A90897" w:rsidRPr="00510CB1">
        <w:rPr>
          <w:rFonts w:ascii="Calibri" w:eastAsia="Calibri" w:hAnsi="Calibri"/>
          <w:bCs/>
          <w:sz w:val="20"/>
          <w:szCs w:val="20"/>
          <w:lang w:val="es-MX"/>
        </w:rPr>
        <w:t>.</w:t>
      </w:r>
    </w:p>
    <w:p w14:paraId="4D4390D0" w14:textId="77777777" w:rsidR="0045395E" w:rsidRPr="0045395E" w:rsidRDefault="0045395E" w:rsidP="00C54CB1">
      <w:pPr>
        <w:jc w:val="both"/>
        <w:rPr>
          <w:rFonts w:ascii="Calibri" w:eastAsia="Calibri" w:hAnsi="Calibri"/>
          <w:bCs/>
          <w:sz w:val="20"/>
          <w:szCs w:val="20"/>
          <w:lang w:val="es-MX"/>
        </w:rPr>
      </w:pPr>
    </w:p>
    <w:p w14:paraId="4747A9D4" w14:textId="6F1368D5" w:rsidR="00C54CB1" w:rsidRPr="0045395E" w:rsidRDefault="00C54CB1" w:rsidP="00C54CB1">
      <w:pPr>
        <w:jc w:val="both"/>
        <w:rPr>
          <w:rFonts w:ascii="Calibri" w:eastAsia="Calibri" w:hAnsi="Calibri"/>
          <w:b/>
          <w:sz w:val="20"/>
          <w:szCs w:val="20"/>
          <w:lang w:val="es-MX"/>
        </w:rPr>
      </w:pPr>
      <w:r w:rsidRPr="0045395E">
        <w:rPr>
          <w:rFonts w:ascii="Calibri" w:eastAsia="Calibri" w:hAnsi="Calibri"/>
          <w:b/>
          <w:sz w:val="20"/>
          <w:szCs w:val="20"/>
          <w:lang w:val="es-MX"/>
        </w:rPr>
        <w:t>En detalle, al interior de la inflación anual del componente subyacente, destaca que</w:t>
      </w:r>
      <w:r w:rsidR="006F4636" w:rsidRPr="0045395E">
        <w:rPr>
          <w:rFonts w:ascii="Calibri" w:eastAsia="Calibri" w:hAnsi="Calibri"/>
          <w:b/>
          <w:sz w:val="20"/>
          <w:szCs w:val="20"/>
          <w:lang w:val="es-MX"/>
        </w:rPr>
        <w:t xml:space="preserve"> (Figura </w:t>
      </w:r>
      <w:r w:rsidR="00E07B15" w:rsidRPr="0045395E">
        <w:rPr>
          <w:rFonts w:ascii="Calibri" w:eastAsia="Calibri" w:hAnsi="Calibri"/>
          <w:b/>
          <w:sz w:val="20"/>
          <w:szCs w:val="20"/>
          <w:lang w:val="es-MX"/>
        </w:rPr>
        <w:t>6</w:t>
      </w:r>
      <w:r w:rsidR="006F4636" w:rsidRPr="0045395E">
        <w:rPr>
          <w:rFonts w:ascii="Calibri" w:eastAsia="Calibri" w:hAnsi="Calibri"/>
          <w:b/>
          <w:sz w:val="20"/>
          <w:szCs w:val="20"/>
          <w:lang w:val="es-MX"/>
        </w:rPr>
        <w:t xml:space="preserve"> y </w:t>
      </w:r>
      <w:r w:rsidR="00E07B15" w:rsidRPr="0045395E">
        <w:rPr>
          <w:rFonts w:ascii="Calibri" w:eastAsia="Calibri" w:hAnsi="Calibri"/>
          <w:b/>
          <w:sz w:val="20"/>
          <w:szCs w:val="20"/>
          <w:lang w:val="es-MX"/>
        </w:rPr>
        <w:t>7</w:t>
      </w:r>
      <w:r w:rsidR="006F4636" w:rsidRPr="0045395E">
        <w:rPr>
          <w:rFonts w:ascii="Calibri" w:eastAsia="Calibri" w:hAnsi="Calibri"/>
          <w:b/>
          <w:sz w:val="20"/>
          <w:szCs w:val="20"/>
          <w:lang w:val="es-MX"/>
        </w:rPr>
        <w:t>)</w:t>
      </w:r>
      <w:r w:rsidRPr="0045395E">
        <w:rPr>
          <w:rFonts w:ascii="Calibri" w:eastAsia="Calibri" w:hAnsi="Calibri"/>
          <w:b/>
          <w:sz w:val="20"/>
          <w:szCs w:val="20"/>
          <w:lang w:val="es-MX"/>
        </w:rPr>
        <w:t>:</w:t>
      </w:r>
    </w:p>
    <w:p w14:paraId="7C66CE5E" w14:textId="002C108B" w:rsidR="00240E62" w:rsidRPr="0045395E" w:rsidRDefault="00240E62" w:rsidP="00240E62">
      <w:pPr>
        <w:jc w:val="both"/>
        <w:rPr>
          <w:rFonts w:ascii="Calibri" w:eastAsia="Calibri" w:hAnsi="Calibri"/>
          <w:bCs/>
          <w:sz w:val="14"/>
          <w:szCs w:val="14"/>
          <w:lang w:val="es-MX"/>
        </w:rPr>
      </w:pPr>
    </w:p>
    <w:p w14:paraId="21726714" w14:textId="6965DBF1" w:rsidR="00240E62" w:rsidRPr="0045395E" w:rsidRDefault="00240E62" w:rsidP="00240E62">
      <w:pPr>
        <w:pStyle w:val="Prrafodelista"/>
        <w:numPr>
          <w:ilvl w:val="0"/>
          <w:numId w:val="18"/>
        </w:numPr>
        <w:jc w:val="both"/>
        <w:rPr>
          <w:rFonts w:ascii="Calibri" w:eastAsia="Calibri" w:hAnsi="Calibri"/>
          <w:bCs/>
          <w:sz w:val="20"/>
          <w:szCs w:val="20"/>
          <w:lang w:val="es-MX"/>
        </w:rPr>
      </w:pPr>
      <w:r w:rsidRPr="0045395E">
        <w:rPr>
          <w:rFonts w:ascii="Calibri" w:eastAsia="Calibri" w:hAnsi="Calibri"/>
          <w:bCs/>
          <w:sz w:val="20"/>
          <w:szCs w:val="20"/>
          <w:lang w:val="es-MX"/>
        </w:rPr>
        <w:t xml:space="preserve">Inflación </w:t>
      </w:r>
      <w:r w:rsidRPr="0045395E">
        <w:rPr>
          <w:rFonts w:ascii="Calibri" w:eastAsia="Calibri" w:hAnsi="Calibri"/>
          <w:b/>
          <w:sz w:val="20"/>
          <w:szCs w:val="20"/>
          <w:lang w:val="es-MX"/>
        </w:rPr>
        <w:t>subyacente</w:t>
      </w:r>
      <w:r w:rsidRPr="0045395E">
        <w:rPr>
          <w:rFonts w:ascii="Calibri" w:eastAsia="Calibri" w:hAnsi="Calibri"/>
          <w:bCs/>
          <w:sz w:val="20"/>
          <w:szCs w:val="20"/>
          <w:lang w:val="es-MX"/>
        </w:rPr>
        <w:t xml:space="preserve"> (3.</w:t>
      </w:r>
      <w:r w:rsidR="00510CB1" w:rsidRPr="0045395E">
        <w:rPr>
          <w:rFonts w:ascii="Calibri" w:eastAsia="Calibri" w:hAnsi="Calibri"/>
          <w:bCs/>
          <w:sz w:val="20"/>
          <w:szCs w:val="20"/>
          <w:lang w:val="es-MX"/>
        </w:rPr>
        <w:t>62</w:t>
      </w:r>
      <w:r w:rsidRPr="0045395E">
        <w:rPr>
          <w:rFonts w:ascii="Calibri" w:eastAsia="Calibri" w:hAnsi="Calibri"/>
          <w:bCs/>
          <w:sz w:val="20"/>
          <w:szCs w:val="20"/>
          <w:lang w:val="es-MX"/>
        </w:rPr>
        <w:t xml:space="preserve">%), </w:t>
      </w:r>
      <w:r w:rsidR="00510CB1" w:rsidRPr="0045395E">
        <w:rPr>
          <w:rFonts w:ascii="Calibri" w:eastAsia="Calibri" w:hAnsi="Calibri"/>
          <w:bCs/>
          <w:sz w:val="20"/>
          <w:szCs w:val="20"/>
          <w:lang w:val="es-MX"/>
        </w:rPr>
        <w:t>interrumpió seis quincenas consecutivas</w:t>
      </w:r>
      <w:r w:rsidRPr="0045395E">
        <w:rPr>
          <w:rFonts w:ascii="Calibri" w:eastAsia="Calibri" w:hAnsi="Calibri"/>
          <w:bCs/>
          <w:sz w:val="20"/>
          <w:szCs w:val="20"/>
          <w:lang w:val="es-MX"/>
        </w:rPr>
        <w:t xml:space="preserve"> de desaceleración y se ubicó en su </w:t>
      </w:r>
      <w:r w:rsidR="00510CB1" w:rsidRPr="0045395E">
        <w:rPr>
          <w:rFonts w:ascii="Calibri" w:eastAsia="Calibri" w:hAnsi="Calibri"/>
          <w:bCs/>
          <w:sz w:val="20"/>
          <w:szCs w:val="20"/>
          <w:lang w:val="es-MX"/>
        </w:rPr>
        <w:t>mayor</w:t>
      </w:r>
      <w:r w:rsidRPr="0045395E">
        <w:rPr>
          <w:rFonts w:ascii="Calibri" w:eastAsia="Calibri" w:hAnsi="Calibri"/>
          <w:bCs/>
          <w:sz w:val="20"/>
          <w:szCs w:val="20"/>
          <w:lang w:val="es-MX"/>
        </w:rPr>
        <w:t xml:space="preserve"> tasa anual desde </w:t>
      </w:r>
      <w:r w:rsidR="00510CB1" w:rsidRPr="0045395E">
        <w:rPr>
          <w:rFonts w:ascii="Calibri" w:eastAsia="Calibri" w:hAnsi="Calibri"/>
          <w:bCs/>
          <w:sz w:val="20"/>
          <w:szCs w:val="20"/>
          <w:lang w:val="es-MX"/>
        </w:rPr>
        <w:t>la segunda quincena de octubre (3.74%).</w:t>
      </w:r>
    </w:p>
    <w:p w14:paraId="0F07DE31" w14:textId="0EB99D90" w:rsidR="00240E62" w:rsidRPr="00DC5E1F" w:rsidRDefault="00240E62" w:rsidP="00240E62">
      <w:pPr>
        <w:pStyle w:val="Prrafodelista"/>
        <w:numPr>
          <w:ilvl w:val="0"/>
          <w:numId w:val="18"/>
        </w:numPr>
        <w:jc w:val="both"/>
        <w:rPr>
          <w:rFonts w:ascii="Calibri" w:eastAsia="Calibri" w:hAnsi="Calibri"/>
          <w:bCs/>
          <w:sz w:val="20"/>
          <w:szCs w:val="20"/>
          <w:lang w:val="es-MX"/>
        </w:rPr>
      </w:pPr>
      <w:r w:rsidRPr="0045395E">
        <w:rPr>
          <w:rFonts w:ascii="Calibri" w:eastAsia="Calibri" w:hAnsi="Calibri"/>
          <w:bCs/>
          <w:sz w:val="20"/>
          <w:szCs w:val="20"/>
          <w:lang w:val="es-MX"/>
        </w:rPr>
        <w:t xml:space="preserve">La inflación de </w:t>
      </w:r>
      <w:r w:rsidRPr="0045395E">
        <w:rPr>
          <w:rFonts w:ascii="Calibri" w:eastAsia="Calibri" w:hAnsi="Calibri"/>
          <w:b/>
          <w:sz w:val="20"/>
          <w:szCs w:val="20"/>
          <w:lang w:val="es-MX"/>
        </w:rPr>
        <w:t>mercancías</w:t>
      </w:r>
      <w:r w:rsidRPr="0045395E">
        <w:rPr>
          <w:rFonts w:ascii="Calibri" w:eastAsia="Calibri" w:hAnsi="Calibri"/>
          <w:bCs/>
          <w:sz w:val="20"/>
          <w:szCs w:val="20"/>
          <w:lang w:val="es-MX"/>
        </w:rPr>
        <w:t xml:space="preserve"> (2.</w:t>
      </w:r>
      <w:r w:rsidR="00120853" w:rsidRPr="0045395E">
        <w:rPr>
          <w:rFonts w:ascii="Calibri" w:eastAsia="Calibri" w:hAnsi="Calibri"/>
          <w:bCs/>
          <w:sz w:val="20"/>
          <w:szCs w:val="20"/>
          <w:lang w:val="es-MX"/>
        </w:rPr>
        <w:t>4</w:t>
      </w:r>
      <w:r w:rsidR="00DC5E1F" w:rsidRPr="0045395E">
        <w:rPr>
          <w:rFonts w:ascii="Calibri" w:eastAsia="Calibri" w:hAnsi="Calibri"/>
          <w:bCs/>
          <w:sz w:val="20"/>
          <w:szCs w:val="20"/>
          <w:lang w:val="es-MX"/>
        </w:rPr>
        <w:t>4</w:t>
      </w:r>
      <w:r w:rsidRPr="0045395E">
        <w:rPr>
          <w:rFonts w:ascii="Calibri" w:eastAsia="Calibri" w:hAnsi="Calibri"/>
          <w:bCs/>
          <w:sz w:val="20"/>
          <w:szCs w:val="20"/>
          <w:lang w:val="es-MX"/>
        </w:rPr>
        <w:t xml:space="preserve">%) se aceleró </w:t>
      </w:r>
      <w:r w:rsidR="00DC5E1F" w:rsidRPr="0045395E">
        <w:rPr>
          <w:rFonts w:ascii="Calibri" w:eastAsia="Calibri" w:hAnsi="Calibri"/>
          <w:bCs/>
          <w:sz w:val="20"/>
          <w:szCs w:val="20"/>
          <w:lang w:val="es-MX"/>
        </w:rPr>
        <w:t>después de ocho quincenas seguidas de desaceleración</w:t>
      </w:r>
      <w:r w:rsidR="00DC5E1F" w:rsidRPr="00DC5E1F">
        <w:rPr>
          <w:rFonts w:ascii="Calibri" w:eastAsia="Calibri" w:hAnsi="Calibri"/>
          <w:bCs/>
          <w:sz w:val="20"/>
          <w:szCs w:val="20"/>
          <w:lang w:val="es-MX"/>
        </w:rPr>
        <w:t xml:space="preserve">, </w:t>
      </w:r>
      <w:r w:rsidR="00DC5E1F">
        <w:rPr>
          <w:rFonts w:ascii="Calibri" w:eastAsia="Calibri" w:hAnsi="Calibri"/>
          <w:bCs/>
          <w:sz w:val="20"/>
          <w:szCs w:val="20"/>
          <w:lang w:val="es-MX"/>
        </w:rPr>
        <w:t>ubicándose en su mayor tasa desde la primera quincena de noviembre</w:t>
      </w:r>
      <w:r w:rsidR="006A2DB2">
        <w:rPr>
          <w:rFonts w:ascii="Calibri" w:eastAsia="Calibri" w:hAnsi="Calibri"/>
          <w:bCs/>
          <w:sz w:val="20"/>
          <w:szCs w:val="20"/>
          <w:lang w:val="es-MX"/>
        </w:rPr>
        <w:t xml:space="preserve"> (2.46%)</w:t>
      </w:r>
      <w:r w:rsidR="00DC5E1F">
        <w:rPr>
          <w:rFonts w:ascii="Calibri" w:eastAsia="Calibri" w:hAnsi="Calibri"/>
          <w:bCs/>
          <w:sz w:val="20"/>
          <w:szCs w:val="20"/>
          <w:lang w:val="es-MX"/>
        </w:rPr>
        <w:t xml:space="preserve">. </w:t>
      </w:r>
    </w:p>
    <w:p w14:paraId="3BE3C2F6" w14:textId="65B6CB1D" w:rsidR="00240E62" w:rsidRPr="00DC5E1F" w:rsidRDefault="00240E62" w:rsidP="00240E62">
      <w:pPr>
        <w:pStyle w:val="Prrafodelista"/>
        <w:numPr>
          <w:ilvl w:val="0"/>
          <w:numId w:val="18"/>
        </w:numPr>
        <w:jc w:val="both"/>
        <w:rPr>
          <w:rFonts w:ascii="Calibri" w:eastAsia="Calibri" w:hAnsi="Calibri"/>
          <w:bCs/>
          <w:sz w:val="20"/>
          <w:szCs w:val="20"/>
          <w:lang w:val="es-MX"/>
        </w:rPr>
      </w:pPr>
      <w:r w:rsidRPr="00DC5E1F">
        <w:rPr>
          <w:rFonts w:ascii="Calibri" w:eastAsia="Calibri" w:hAnsi="Calibri"/>
          <w:bCs/>
          <w:sz w:val="20"/>
          <w:szCs w:val="20"/>
          <w:lang w:val="es-MX"/>
        </w:rPr>
        <w:t xml:space="preserve">Las </w:t>
      </w:r>
      <w:r w:rsidRPr="00DC5E1F">
        <w:rPr>
          <w:rFonts w:ascii="Calibri" w:eastAsia="Calibri" w:hAnsi="Calibri"/>
          <w:b/>
          <w:sz w:val="20"/>
          <w:szCs w:val="20"/>
          <w:lang w:val="es-MX"/>
        </w:rPr>
        <w:t>mercancías alimenticias</w:t>
      </w:r>
      <w:r w:rsidRPr="00DC5E1F">
        <w:rPr>
          <w:rFonts w:ascii="Calibri" w:eastAsia="Calibri" w:hAnsi="Calibri"/>
          <w:bCs/>
          <w:sz w:val="20"/>
          <w:szCs w:val="20"/>
          <w:lang w:val="es-MX"/>
        </w:rPr>
        <w:t xml:space="preserve"> (3.</w:t>
      </w:r>
      <w:r w:rsidR="00DC5E1F" w:rsidRPr="00DC5E1F">
        <w:rPr>
          <w:rFonts w:ascii="Calibri" w:eastAsia="Calibri" w:hAnsi="Calibri"/>
          <w:bCs/>
          <w:sz w:val="20"/>
          <w:szCs w:val="20"/>
          <w:lang w:val="es-MX"/>
        </w:rPr>
        <w:t>59</w:t>
      </w:r>
      <w:r w:rsidRPr="00DC5E1F">
        <w:rPr>
          <w:rFonts w:ascii="Calibri" w:eastAsia="Calibri" w:hAnsi="Calibri"/>
          <w:bCs/>
          <w:sz w:val="20"/>
          <w:szCs w:val="20"/>
          <w:lang w:val="es-MX"/>
        </w:rPr>
        <w:t xml:space="preserve">%) </w:t>
      </w:r>
      <w:r w:rsidR="00DC5E1F" w:rsidRPr="00DC5E1F">
        <w:rPr>
          <w:rFonts w:ascii="Calibri" w:eastAsia="Calibri" w:hAnsi="Calibri"/>
          <w:bCs/>
          <w:sz w:val="20"/>
          <w:szCs w:val="20"/>
          <w:lang w:val="es-MX"/>
        </w:rPr>
        <w:t>rompieron</w:t>
      </w:r>
      <w:r w:rsidR="00DC5E1F" w:rsidRPr="00DC5E1F">
        <w:rPr>
          <w:rFonts w:ascii="Calibri" w:eastAsia="Calibri" w:hAnsi="Calibri"/>
          <w:bCs/>
          <w:sz w:val="20"/>
          <w:szCs w:val="20"/>
          <w:lang w:val="es-MX"/>
        </w:rPr>
        <w:t xml:space="preserve"> una racha de 6 quincenas seguidas de desaceleración</w:t>
      </w:r>
      <w:r w:rsidR="00120853" w:rsidRPr="00DC5E1F">
        <w:rPr>
          <w:rFonts w:ascii="Calibri" w:eastAsia="Calibri" w:hAnsi="Calibri"/>
          <w:bCs/>
          <w:sz w:val="20"/>
          <w:szCs w:val="20"/>
          <w:lang w:val="es-MX"/>
        </w:rPr>
        <w:t xml:space="preserve">, registrando </w:t>
      </w:r>
      <w:r w:rsidRPr="00DC5E1F">
        <w:rPr>
          <w:rFonts w:ascii="Calibri" w:eastAsia="Calibri" w:hAnsi="Calibri"/>
          <w:bCs/>
          <w:sz w:val="20"/>
          <w:szCs w:val="20"/>
          <w:lang w:val="es-MX"/>
        </w:rPr>
        <w:t xml:space="preserve">su </w:t>
      </w:r>
      <w:r w:rsidR="00DC5E1F">
        <w:rPr>
          <w:rFonts w:ascii="Calibri" w:eastAsia="Calibri" w:hAnsi="Calibri"/>
          <w:bCs/>
          <w:sz w:val="20"/>
          <w:szCs w:val="20"/>
          <w:lang w:val="es-MX"/>
        </w:rPr>
        <w:t>mayor</w:t>
      </w:r>
      <w:r w:rsidRPr="00DC5E1F">
        <w:rPr>
          <w:rFonts w:ascii="Calibri" w:eastAsia="Calibri" w:hAnsi="Calibri"/>
          <w:bCs/>
          <w:sz w:val="20"/>
          <w:szCs w:val="20"/>
          <w:lang w:val="es-MX"/>
        </w:rPr>
        <w:t xml:space="preserve"> tasa anual desde la </w:t>
      </w:r>
      <w:r w:rsidR="00DC5E1F">
        <w:rPr>
          <w:rFonts w:ascii="Calibri" w:eastAsia="Calibri" w:hAnsi="Calibri"/>
          <w:bCs/>
          <w:sz w:val="20"/>
          <w:szCs w:val="20"/>
          <w:lang w:val="es-MX"/>
        </w:rPr>
        <w:t>primera quincena de noviembre</w:t>
      </w:r>
      <w:r w:rsidR="006A2DB2">
        <w:rPr>
          <w:rFonts w:ascii="Calibri" w:eastAsia="Calibri" w:hAnsi="Calibri"/>
          <w:bCs/>
          <w:sz w:val="20"/>
          <w:szCs w:val="20"/>
          <w:lang w:val="es-MX"/>
        </w:rPr>
        <w:t xml:space="preserve"> 3.65%)</w:t>
      </w:r>
      <w:r w:rsidR="00DC5E1F">
        <w:rPr>
          <w:rFonts w:ascii="Calibri" w:eastAsia="Calibri" w:hAnsi="Calibri"/>
          <w:bCs/>
          <w:sz w:val="20"/>
          <w:szCs w:val="20"/>
          <w:lang w:val="es-MX"/>
        </w:rPr>
        <w:t xml:space="preserve">. </w:t>
      </w:r>
    </w:p>
    <w:p w14:paraId="2BBB23F2" w14:textId="5ABEE8C9" w:rsidR="00240E62" w:rsidRPr="00B90C9E" w:rsidRDefault="00240E62" w:rsidP="00240E62">
      <w:pPr>
        <w:pStyle w:val="Prrafodelista"/>
        <w:numPr>
          <w:ilvl w:val="0"/>
          <w:numId w:val="18"/>
        </w:numPr>
        <w:jc w:val="both"/>
        <w:rPr>
          <w:rFonts w:ascii="Calibri" w:eastAsia="Calibri" w:hAnsi="Calibri"/>
          <w:bCs/>
          <w:sz w:val="20"/>
          <w:szCs w:val="20"/>
          <w:lang w:val="es-MX"/>
        </w:rPr>
      </w:pPr>
      <w:r w:rsidRPr="00B90C9E">
        <w:rPr>
          <w:rFonts w:ascii="Calibri" w:eastAsia="Calibri" w:hAnsi="Calibri"/>
          <w:bCs/>
          <w:sz w:val="20"/>
          <w:szCs w:val="20"/>
          <w:lang w:val="es-MX"/>
        </w:rPr>
        <w:t xml:space="preserve">Las </w:t>
      </w:r>
      <w:r w:rsidRPr="00B90C9E">
        <w:rPr>
          <w:rFonts w:ascii="Calibri" w:eastAsia="Calibri" w:hAnsi="Calibri"/>
          <w:b/>
          <w:sz w:val="20"/>
          <w:szCs w:val="20"/>
          <w:lang w:val="es-MX"/>
        </w:rPr>
        <w:t>mercancías no alimenticias</w:t>
      </w:r>
      <w:r w:rsidRPr="00B90C9E">
        <w:rPr>
          <w:rFonts w:ascii="Calibri" w:eastAsia="Calibri" w:hAnsi="Calibri"/>
          <w:bCs/>
          <w:sz w:val="20"/>
          <w:szCs w:val="20"/>
          <w:lang w:val="es-MX"/>
        </w:rPr>
        <w:t xml:space="preserve"> (1.</w:t>
      </w:r>
      <w:r w:rsidR="00771FDC">
        <w:rPr>
          <w:rFonts w:ascii="Calibri" w:eastAsia="Calibri" w:hAnsi="Calibri"/>
          <w:bCs/>
          <w:sz w:val="20"/>
          <w:szCs w:val="20"/>
          <w:lang w:val="es-MX"/>
        </w:rPr>
        <w:t>28</w:t>
      </w:r>
      <w:r w:rsidRPr="00B90C9E">
        <w:rPr>
          <w:rFonts w:ascii="Calibri" w:eastAsia="Calibri" w:hAnsi="Calibri"/>
          <w:bCs/>
          <w:sz w:val="20"/>
          <w:szCs w:val="20"/>
          <w:lang w:val="es-MX"/>
        </w:rPr>
        <w:t xml:space="preserve">%) se aceleraron por </w:t>
      </w:r>
      <w:r w:rsidR="004B2DD0" w:rsidRPr="00B90C9E">
        <w:rPr>
          <w:rFonts w:ascii="Calibri" w:eastAsia="Calibri" w:hAnsi="Calibri"/>
          <w:bCs/>
          <w:sz w:val="20"/>
          <w:szCs w:val="20"/>
          <w:lang w:val="es-MX"/>
        </w:rPr>
        <w:t>segunda</w:t>
      </w:r>
      <w:r w:rsidRPr="00B90C9E">
        <w:rPr>
          <w:rFonts w:ascii="Calibri" w:eastAsia="Calibri" w:hAnsi="Calibri"/>
          <w:bCs/>
          <w:sz w:val="20"/>
          <w:szCs w:val="20"/>
          <w:lang w:val="es-MX"/>
        </w:rPr>
        <w:t xml:space="preserve"> quincena </w:t>
      </w:r>
      <w:r w:rsidR="004B2DD0" w:rsidRPr="00B90C9E">
        <w:rPr>
          <w:rFonts w:ascii="Calibri" w:eastAsia="Calibri" w:hAnsi="Calibri"/>
          <w:bCs/>
          <w:sz w:val="20"/>
          <w:szCs w:val="20"/>
          <w:lang w:val="es-MX"/>
        </w:rPr>
        <w:t>consecutiva</w:t>
      </w:r>
      <w:r w:rsidRPr="00B90C9E">
        <w:rPr>
          <w:rFonts w:ascii="Calibri" w:eastAsia="Calibri" w:hAnsi="Calibri"/>
          <w:bCs/>
          <w:sz w:val="20"/>
          <w:szCs w:val="20"/>
          <w:lang w:val="es-MX"/>
        </w:rPr>
        <w:t xml:space="preserve">, registrando la </w:t>
      </w:r>
      <w:r w:rsidR="00B90C9E" w:rsidRPr="00B90C9E">
        <w:rPr>
          <w:rFonts w:ascii="Calibri" w:eastAsia="Calibri" w:hAnsi="Calibri"/>
          <w:bCs/>
          <w:sz w:val="20"/>
          <w:szCs w:val="20"/>
          <w:lang w:val="es-MX"/>
        </w:rPr>
        <w:t>mayor</w:t>
      </w:r>
      <w:r w:rsidRPr="00B90C9E">
        <w:rPr>
          <w:rFonts w:ascii="Calibri" w:eastAsia="Calibri" w:hAnsi="Calibri"/>
          <w:bCs/>
          <w:sz w:val="20"/>
          <w:szCs w:val="20"/>
          <w:lang w:val="es-MX"/>
        </w:rPr>
        <w:t xml:space="preserve"> tasa anual desde </w:t>
      </w:r>
      <w:r w:rsidR="004B2DD0" w:rsidRPr="00B90C9E">
        <w:rPr>
          <w:rFonts w:ascii="Calibri" w:eastAsia="Calibri" w:hAnsi="Calibri"/>
          <w:bCs/>
          <w:sz w:val="20"/>
          <w:szCs w:val="20"/>
          <w:lang w:val="es-MX"/>
        </w:rPr>
        <w:t xml:space="preserve">la segunda quincena de octubre </w:t>
      </w:r>
      <w:r w:rsidR="00771FDC">
        <w:rPr>
          <w:rFonts w:ascii="Calibri" w:eastAsia="Calibri" w:hAnsi="Calibri"/>
          <w:bCs/>
          <w:sz w:val="20"/>
          <w:szCs w:val="20"/>
          <w:lang w:val="es-MX"/>
        </w:rPr>
        <w:t>(1.51%).</w:t>
      </w:r>
    </w:p>
    <w:p w14:paraId="455EC6D1" w14:textId="66D50BD2" w:rsidR="00240E62" w:rsidRPr="006F4CAD" w:rsidRDefault="00240E62" w:rsidP="00240E62">
      <w:pPr>
        <w:pStyle w:val="Prrafodelista"/>
        <w:numPr>
          <w:ilvl w:val="0"/>
          <w:numId w:val="18"/>
        </w:numPr>
        <w:jc w:val="both"/>
        <w:rPr>
          <w:rFonts w:ascii="Calibri" w:eastAsia="Calibri" w:hAnsi="Calibri"/>
          <w:bCs/>
          <w:sz w:val="20"/>
          <w:szCs w:val="20"/>
          <w:lang w:val="es-MX"/>
        </w:rPr>
      </w:pPr>
      <w:r w:rsidRPr="006F4CAD">
        <w:rPr>
          <w:rFonts w:ascii="Calibri" w:eastAsia="Calibri" w:hAnsi="Calibri"/>
          <w:bCs/>
          <w:sz w:val="20"/>
          <w:szCs w:val="20"/>
          <w:lang w:val="es-MX"/>
        </w:rPr>
        <w:t xml:space="preserve">La inflación de </w:t>
      </w:r>
      <w:r w:rsidRPr="006F4CAD">
        <w:rPr>
          <w:rFonts w:ascii="Calibri" w:eastAsia="Calibri" w:hAnsi="Calibri"/>
          <w:b/>
          <w:sz w:val="20"/>
          <w:szCs w:val="20"/>
          <w:lang w:val="es-MX"/>
        </w:rPr>
        <w:t>servicios</w:t>
      </w:r>
      <w:r w:rsidRPr="006F4CAD">
        <w:rPr>
          <w:rFonts w:ascii="Calibri" w:eastAsia="Calibri" w:hAnsi="Calibri"/>
          <w:bCs/>
          <w:sz w:val="20"/>
          <w:szCs w:val="20"/>
          <w:lang w:val="es-MX"/>
        </w:rPr>
        <w:t xml:space="preserve"> (</w:t>
      </w:r>
      <w:r w:rsidR="0086707A" w:rsidRPr="006F4CAD">
        <w:rPr>
          <w:rFonts w:ascii="Calibri" w:eastAsia="Calibri" w:hAnsi="Calibri"/>
          <w:bCs/>
          <w:sz w:val="20"/>
          <w:szCs w:val="20"/>
          <w:lang w:val="es-MX"/>
        </w:rPr>
        <w:t>4.8</w:t>
      </w:r>
      <w:r w:rsidR="006F4CAD" w:rsidRPr="006F4CAD">
        <w:rPr>
          <w:rFonts w:ascii="Calibri" w:eastAsia="Calibri" w:hAnsi="Calibri"/>
          <w:bCs/>
          <w:sz w:val="20"/>
          <w:szCs w:val="20"/>
          <w:lang w:val="es-MX"/>
        </w:rPr>
        <w:t xml:space="preserve">8%), registrando la menor inflación desde la primera quincena de noviembre (4.85%). </w:t>
      </w:r>
    </w:p>
    <w:p w14:paraId="0115F182" w14:textId="4004399D" w:rsidR="00894325" w:rsidRPr="00894325" w:rsidRDefault="00240E62" w:rsidP="00894325">
      <w:pPr>
        <w:pStyle w:val="Prrafodelista"/>
        <w:numPr>
          <w:ilvl w:val="0"/>
          <w:numId w:val="18"/>
        </w:numPr>
        <w:jc w:val="both"/>
        <w:rPr>
          <w:rFonts w:ascii="Calibri" w:eastAsia="Calibri" w:hAnsi="Calibri"/>
          <w:bCs/>
          <w:sz w:val="20"/>
          <w:szCs w:val="20"/>
          <w:lang w:val="es-MX"/>
        </w:rPr>
      </w:pPr>
      <w:r w:rsidRPr="00894325">
        <w:rPr>
          <w:rFonts w:ascii="Calibri" w:eastAsia="Calibri" w:hAnsi="Calibri"/>
          <w:bCs/>
          <w:sz w:val="20"/>
          <w:szCs w:val="20"/>
          <w:lang w:val="es-MX"/>
        </w:rPr>
        <w:lastRenderedPageBreak/>
        <w:t xml:space="preserve">Los </w:t>
      </w:r>
      <w:r w:rsidRPr="00894325">
        <w:rPr>
          <w:rFonts w:ascii="Calibri" w:eastAsia="Calibri" w:hAnsi="Calibri"/>
          <w:b/>
          <w:sz w:val="20"/>
          <w:szCs w:val="20"/>
          <w:lang w:val="es-MX"/>
        </w:rPr>
        <w:t>servicios de vivienda</w:t>
      </w:r>
      <w:r w:rsidRPr="00894325">
        <w:rPr>
          <w:rFonts w:ascii="Calibri" w:eastAsia="Calibri" w:hAnsi="Calibri"/>
          <w:bCs/>
          <w:sz w:val="20"/>
          <w:szCs w:val="20"/>
          <w:lang w:val="es-MX"/>
        </w:rPr>
        <w:t xml:space="preserve"> (</w:t>
      </w:r>
      <w:r w:rsidR="002654EF" w:rsidRPr="00894325">
        <w:rPr>
          <w:rFonts w:ascii="Calibri" w:eastAsia="Calibri" w:hAnsi="Calibri"/>
          <w:bCs/>
          <w:sz w:val="20"/>
          <w:szCs w:val="20"/>
          <w:lang w:val="es-MX"/>
        </w:rPr>
        <w:t>3.96</w:t>
      </w:r>
      <w:r w:rsidRPr="00894325">
        <w:rPr>
          <w:rFonts w:ascii="Calibri" w:eastAsia="Calibri" w:hAnsi="Calibri"/>
          <w:bCs/>
          <w:sz w:val="20"/>
          <w:szCs w:val="20"/>
          <w:lang w:val="es-MX"/>
        </w:rPr>
        <w:t xml:space="preserve">%) </w:t>
      </w:r>
      <w:r w:rsidR="00894325" w:rsidRPr="00894325">
        <w:rPr>
          <w:rFonts w:ascii="Calibri" w:eastAsia="Calibri" w:hAnsi="Calibri"/>
          <w:bCs/>
          <w:sz w:val="20"/>
          <w:szCs w:val="20"/>
          <w:lang w:val="es-MX"/>
        </w:rPr>
        <w:t>interrumpieron</w:t>
      </w:r>
      <w:r w:rsidR="00894325" w:rsidRPr="00894325">
        <w:rPr>
          <w:rFonts w:ascii="Calibri" w:eastAsia="Calibri" w:hAnsi="Calibri"/>
          <w:bCs/>
          <w:sz w:val="20"/>
          <w:szCs w:val="20"/>
          <w:lang w:val="es-MX"/>
        </w:rPr>
        <w:t xml:space="preserve"> </w:t>
      </w:r>
      <w:r w:rsidR="00894325" w:rsidRPr="00894325">
        <w:rPr>
          <w:rFonts w:ascii="Calibri" w:eastAsia="Calibri" w:hAnsi="Calibri"/>
          <w:bCs/>
          <w:sz w:val="20"/>
          <w:szCs w:val="20"/>
          <w:lang w:val="es-MX"/>
        </w:rPr>
        <w:t>cinco</w:t>
      </w:r>
      <w:r w:rsidR="00894325" w:rsidRPr="00894325">
        <w:rPr>
          <w:rFonts w:ascii="Calibri" w:eastAsia="Calibri" w:hAnsi="Calibri"/>
          <w:bCs/>
          <w:sz w:val="20"/>
          <w:szCs w:val="20"/>
          <w:lang w:val="es-MX"/>
        </w:rPr>
        <w:t xml:space="preserve"> quincenas consecutivas de desaceleración y se ubicó en su mayor tasa anual desde </w:t>
      </w:r>
      <w:r w:rsidR="00894325" w:rsidRPr="00894325">
        <w:rPr>
          <w:rFonts w:ascii="Calibri" w:eastAsia="Calibri" w:hAnsi="Calibri"/>
          <w:bCs/>
          <w:sz w:val="20"/>
          <w:szCs w:val="20"/>
          <w:lang w:val="es-MX"/>
        </w:rPr>
        <w:t>la segunda quincena de septiembre (4.03%).</w:t>
      </w:r>
    </w:p>
    <w:p w14:paraId="323225BF" w14:textId="478D83CF" w:rsidR="00240E62" w:rsidRPr="00E4228E" w:rsidRDefault="00240E62" w:rsidP="00A5009F">
      <w:pPr>
        <w:pStyle w:val="Prrafodelista"/>
        <w:numPr>
          <w:ilvl w:val="0"/>
          <w:numId w:val="18"/>
        </w:numPr>
        <w:jc w:val="both"/>
        <w:rPr>
          <w:rFonts w:ascii="Calibri" w:eastAsia="Calibri" w:hAnsi="Calibri"/>
          <w:bCs/>
          <w:sz w:val="20"/>
          <w:szCs w:val="20"/>
          <w:lang w:val="es-MX"/>
        </w:rPr>
      </w:pPr>
      <w:r w:rsidRPr="00E4228E">
        <w:rPr>
          <w:rFonts w:ascii="Calibri" w:eastAsia="Calibri" w:hAnsi="Calibri"/>
          <w:bCs/>
          <w:sz w:val="20"/>
          <w:szCs w:val="20"/>
          <w:lang w:val="es-MX"/>
        </w:rPr>
        <w:t xml:space="preserve">Los </w:t>
      </w:r>
      <w:r w:rsidRPr="00E4228E">
        <w:rPr>
          <w:rFonts w:ascii="Calibri" w:eastAsia="Calibri" w:hAnsi="Calibri"/>
          <w:b/>
          <w:sz w:val="20"/>
          <w:szCs w:val="20"/>
          <w:lang w:val="es-MX"/>
        </w:rPr>
        <w:t>servicios de educación</w:t>
      </w:r>
      <w:r w:rsidRPr="00E4228E">
        <w:rPr>
          <w:rFonts w:ascii="Calibri" w:eastAsia="Calibri" w:hAnsi="Calibri"/>
          <w:bCs/>
          <w:sz w:val="20"/>
          <w:szCs w:val="20"/>
          <w:lang w:val="es-MX"/>
        </w:rPr>
        <w:t xml:space="preserve"> (5.79%) no mostraron cambios</w:t>
      </w:r>
      <w:r w:rsidR="00E4228E">
        <w:rPr>
          <w:rFonts w:ascii="Calibri" w:eastAsia="Calibri" w:hAnsi="Calibri"/>
          <w:bCs/>
          <w:sz w:val="20"/>
          <w:szCs w:val="20"/>
          <w:lang w:val="es-MX"/>
        </w:rPr>
        <w:t xml:space="preserve">, manteniendo dicha inflación </w:t>
      </w:r>
      <w:r w:rsidR="00E4228E" w:rsidRPr="00E4228E">
        <w:rPr>
          <w:rFonts w:ascii="Calibri" w:eastAsia="Calibri" w:hAnsi="Calibri"/>
          <w:bCs/>
          <w:sz w:val="20"/>
          <w:szCs w:val="20"/>
          <w:lang w:val="es-MX"/>
        </w:rPr>
        <w:t xml:space="preserve">por 6 quincenas </w:t>
      </w:r>
      <w:r w:rsidR="00E4228E">
        <w:rPr>
          <w:rFonts w:ascii="Calibri" w:eastAsia="Calibri" w:hAnsi="Calibri"/>
          <w:bCs/>
          <w:sz w:val="20"/>
          <w:szCs w:val="20"/>
          <w:lang w:val="es-MX"/>
        </w:rPr>
        <w:t>seguidas</w:t>
      </w:r>
      <w:r w:rsidR="00E4228E" w:rsidRPr="00E4228E">
        <w:rPr>
          <w:rFonts w:ascii="Calibri" w:eastAsia="Calibri" w:hAnsi="Calibri"/>
          <w:bCs/>
          <w:sz w:val="20"/>
          <w:szCs w:val="20"/>
          <w:lang w:val="es-MX"/>
        </w:rPr>
        <w:t xml:space="preserve">.  </w:t>
      </w:r>
    </w:p>
    <w:p w14:paraId="3297A446" w14:textId="07067BE0" w:rsidR="00DF63B0" w:rsidRDefault="00240E62" w:rsidP="00DF63B0">
      <w:pPr>
        <w:pStyle w:val="Prrafodelista"/>
        <w:numPr>
          <w:ilvl w:val="0"/>
          <w:numId w:val="18"/>
        </w:numPr>
        <w:jc w:val="both"/>
        <w:rPr>
          <w:rFonts w:ascii="Calibri" w:eastAsia="Calibri" w:hAnsi="Calibri"/>
          <w:bCs/>
          <w:sz w:val="20"/>
          <w:szCs w:val="20"/>
          <w:lang w:val="es-MX"/>
        </w:rPr>
      </w:pPr>
      <w:r w:rsidRPr="00D85AA9">
        <w:rPr>
          <w:rFonts w:ascii="Calibri" w:eastAsia="Calibri" w:hAnsi="Calibri"/>
          <w:bCs/>
          <w:sz w:val="20"/>
          <w:szCs w:val="20"/>
          <w:lang w:val="es-MX"/>
        </w:rPr>
        <w:t xml:space="preserve">Los </w:t>
      </w:r>
      <w:r w:rsidRPr="00D85AA9">
        <w:rPr>
          <w:rFonts w:ascii="Calibri" w:eastAsia="Calibri" w:hAnsi="Calibri"/>
          <w:b/>
          <w:sz w:val="20"/>
          <w:szCs w:val="20"/>
          <w:lang w:val="es-MX"/>
        </w:rPr>
        <w:t>otros servicios</w:t>
      </w:r>
      <w:r w:rsidRPr="00D85AA9">
        <w:rPr>
          <w:rFonts w:ascii="Calibri" w:eastAsia="Calibri" w:hAnsi="Calibri"/>
          <w:bCs/>
          <w:sz w:val="20"/>
          <w:szCs w:val="20"/>
          <w:lang w:val="es-MX"/>
        </w:rPr>
        <w:t xml:space="preserve"> (5.</w:t>
      </w:r>
      <w:r w:rsidR="002654EF" w:rsidRPr="00D85AA9">
        <w:rPr>
          <w:rFonts w:ascii="Calibri" w:eastAsia="Calibri" w:hAnsi="Calibri"/>
          <w:bCs/>
          <w:sz w:val="20"/>
          <w:szCs w:val="20"/>
          <w:lang w:val="es-MX"/>
        </w:rPr>
        <w:t>6</w:t>
      </w:r>
      <w:r w:rsidR="00DD45D6" w:rsidRPr="00D85AA9">
        <w:rPr>
          <w:rFonts w:ascii="Calibri" w:eastAsia="Calibri" w:hAnsi="Calibri"/>
          <w:bCs/>
          <w:sz w:val="20"/>
          <w:szCs w:val="20"/>
          <w:lang w:val="es-MX"/>
        </w:rPr>
        <w:t>7</w:t>
      </w:r>
      <w:r w:rsidRPr="00D85AA9">
        <w:rPr>
          <w:rFonts w:ascii="Calibri" w:eastAsia="Calibri" w:hAnsi="Calibri"/>
          <w:bCs/>
          <w:sz w:val="20"/>
          <w:szCs w:val="20"/>
          <w:lang w:val="es-MX"/>
        </w:rPr>
        <w:t xml:space="preserve">%) se desaceleraron y mostraron la menor tasa anual desde la primera quincena de </w:t>
      </w:r>
      <w:r w:rsidR="002654EF" w:rsidRPr="00D85AA9">
        <w:rPr>
          <w:rFonts w:ascii="Calibri" w:eastAsia="Calibri" w:hAnsi="Calibri"/>
          <w:bCs/>
          <w:sz w:val="20"/>
          <w:szCs w:val="20"/>
          <w:lang w:val="es-MX"/>
        </w:rPr>
        <w:t xml:space="preserve">noviembre </w:t>
      </w:r>
      <w:r w:rsidRPr="00D85AA9">
        <w:rPr>
          <w:rFonts w:ascii="Calibri" w:eastAsia="Calibri" w:hAnsi="Calibri"/>
          <w:bCs/>
          <w:sz w:val="20"/>
          <w:szCs w:val="20"/>
          <w:lang w:val="es-MX"/>
        </w:rPr>
        <w:t>(5.</w:t>
      </w:r>
      <w:r w:rsidR="00DD45D6" w:rsidRPr="00D85AA9">
        <w:rPr>
          <w:rFonts w:ascii="Calibri" w:eastAsia="Calibri" w:hAnsi="Calibri"/>
          <w:bCs/>
          <w:sz w:val="20"/>
          <w:szCs w:val="20"/>
          <w:lang w:val="es-MX"/>
        </w:rPr>
        <w:t>63</w:t>
      </w:r>
      <w:r w:rsidRPr="00D85AA9">
        <w:rPr>
          <w:rFonts w:ascii="Calibri" w:eastAsia="Calibri" w:hAnsi="Calibri"/>
          <w:bCs/>
          <w:sz w:val="20"/>
          <w:szCs w:val="20"/>
          <w:lang w:val="es-MX"/>
        </w:rPr>
        <w:t>%).</w:t>
      </w:r>
    </w:p>
    <w:p w14:paraId="112E37F0" w14:textId="77777777" w:rsidR="000A6B57" w:rsidRPr="00BA315C" w:rsidRDefault="000A6B57" w:rsidP="000A6B57">
      <w:pPr>
        <w:jc w:val="both"/>
        <w:rPr>
          <w:rFonts w:ascii="Calibri" w:eastAsia="Calibri" w:hAnsi="Calibri"/>
          <w:bCs/>
          <w:sz w:val="10"/>
          <w:szCs w:val="10"/>
          <w:lang w:val="es-MX"/>
        </w:rPr>
      </w:pPr>
    </w:p>
    <w:p w14:paraId="3523561B" w14:textId="42619222" w:rsidR="000C0704" w:rsidRDefault="000A6B57" w:rsidP="000C0704">
      <w:pPr>
        <w:jc w:val="both"/>
        <w:rPr>
          <w:rFonts w:ascii="Calibri" w:eastAsia="Calibri" w:hAnsi="Calibri"/>
          <w:bCs/>
          <w:sz w:val="20"/>
          <w:szCs w:val="20"/>
          <w:lang w:val="es-MX"/>
        </w:rPr>
      </w:pPr>
      <w:r>
        <w:rPr>
          <w:rFonts w:ascii="Calibri" w:eastAsia="Calibri" w:hAnsi="Calibri"/>
          <w:bCs/>
          <w:sz w:val="20"/>
          <w:szCs w:val="20"/>
          <w:lang w:val="es-MX"/>
        </w:rPr>
        <w:t>Es importante resaltar que, l</w:t>
      </w:r>
      <w:r w:rsidRPr="000C0704">
        <w:rPr>
          <w:rFonts w:ascii="Calibri" w:eastAsia="Calibri" w:hAnsi="Calibri"/>
          <w:bCs/>
          <w:sz w:val="20"/>
          <w:szCs w:val="20"/>
          <w:lang w:val="es-MX"/>
        </w:rPr>
        <w:t>a mayoría de los subcomponentes de la inflación subyacente registraron tasas anuales que se destacan como las más altas o bajas en varias quincenas recientes</w:t>
      </w:r>
      <w:r>
        <w:rPr>
          <w:rFonts w:ascii="Calibri" w:eastAsia="Calibri" w:hAnsi="Calibri"/>
          <w:bCs/>
          <w:sz w:val="20"/>
          <w:szCs w:val="20"/>
          <w:lang w:val="es-MX"/>
        </w:rPr>
        <w:t xml:space="preserve"> (todas en este año)</w:t>
      </w:r>
      <w:r w:rsidRPr="000C0704">
        <w:rPr>
          <w:rFonts w:ascii="Calibri" w:eastAsia="Calibri" w:hAnsi="Calibri"/>
          <w:bCs/>
          <w:sz w:val="20"/>
          <w:szCs w:val="20"/>
          <w:lang w:val="es-MX"/>
        </w:rPr>
        <w:t>.</w:t>
      </w:r>
      <w:r>
        <w:rPr>
          <w:rFonts w:ascii="Calibri" w:eastAsia="Calibri" w:hAnsi="Calibri"/>
          <w:bCs/>
          <w:sz w:val="20"/>
          <w:szCs w:val="20"/>
          <w:lang w:val="es-MX"/>
        </w:rPr>
        <w:t xml:space="preserve"> </w:t>
      </w:r>
      <w:r w:rsidRPr="000C0704">
        <w:rPr>
          <w:rFonts w:ascii="Calibri" w:eastAsia="Calibri" w:hAnsi="Calibri"/>
          <w:bCs/>
          <w:sz w:val="20"/>
          <w:szCs w:val="20"/>
          <w:lang w:val="es-MX"/>
        </w:rPr>
        <w:t>Este comportamiento sugiere que el componente subyacente podría estar comenzando a estabilizarse</w:t>
      </w:r>
      <w:r>
        <w:rPr>
          <w:rFonts w:ascii="Calibri" w:eastAsia="Calibri" w:hAnsi="Calibri"/>
          <w:bCs/>
          <w:sz w:val="20"/>
          <w:szCs w:val="20"/>
          <w:lang w:val="es-MX"/>
        </w:rPr>
        <w:t xml:space="preserve"> o incluso estar </w:t>
      </w:r>
      <w:r w:rsidRPr="000C0704">
        <w:rPr>
          <w:rFonts w:ascii="Calibri" w:eastAsia="Calibri" w:hAnsi="Calibri"/>
          <w:bCs/>
          <w:sz w:val="20"/>
          <w:szCs w:val="20"/>
          <w:lang w:val="es-MX"/>
        </w:rPr>
        <w:t>entrando en una etapa de estancamiento, en la que la desaceleración observada en meses previos comienza a perder impulso.</w:t>
      </w:r>
    </w:p>
    <w:p w14:paraId="302CD280" w14:textId="77777777" w:rsidR="00BA315C" w:rsidRPr="00BA315C" w:rsidRDefault="00BA315C" w:rsidP="000C0704">
      <w:pPr>
        <w:jc w:val="both"/>
        <w:rPr>
          <w:rFonts w:ascii="Calibri" w:eastAsia="Calibri" w:hAnsi="Calibri"/>
          <w:bCs/>
          <w:sz w:val="10"/>
          <w:szCs w:val="10"/>
          <w:lang w:val="es-MX"/>
        </w:rPr>
      </w:pPr>
    </w:p>
    <w:p w14:paraId="5ADA02F2" w14:textId="13603204" w:rsidR="00A66E22" w:rsidRDefault="00A66E22" w:rsidP="00992686">
      <w:pPr>
        <w:jc w:val="center"/>
        <w:rPr>
          <w:rFonts w:ascii="Calibri" w:eastAsia="Calibri" w:hAnsi="Calibri"/>
          <w:bCs/>
          <w:sz w:val="20"/>
          <w:szCs w:val="20"/>
          <w:lang w:val="es-MX"/>
        </w:rPr>
      </w:pPr>
      <w:r>
        <w:rPr>
          <w:noProof/>
        </w:rPr>
        <w:drawing>
          <wp:inline distT="0" distB="0" distL="0" distR="0" wp14:anchorId="4A8074FB" wp14:editId="7F4E72E6">
            <wp:extent cx="2520000" cy="2520000"/>
            <wp:effectExtent l="0" t="0" r="0" b="0"/>
            <wp:docPr id="22683307" name="Gráfico 1">
              <a:extLst xmlns:a="http://schemas.openxmlformats.org/drawingml/2006/main">
                <a:ext uri="{FF2B5EF4-FFF2-40B4-BE49-F238E27FC236}">
                  <a16:creationId xmlns:a16="http://schemas.microsoft.com/office/drawing/2014/main" id="{09A1E6D2-FBC9-4CC0-94C2-A5C97D4D2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92686">
        <w:rPr>
          <w:rFonts w:ascii="Calibri" w:eastAsia="Calibri" w:hAnsi="Calibri"/>
          <w:bCs/>
          <w:sz w:val="20"/>
          <w:szCs w:val="20"/>
          <w:lang w:val="es-MX"/>
        </w:rPr>
        <w:t xml:space="preserve">          </w:t>
      </w:r>
      <w:r w:rsidR="00992686">
        <w:rPr>
          <w:noProof/>
        </w:rPr>
        <w:drawing>
          <wp:inline distT="0" distB="0" distL="0" distR="0" wp14:anchorId="7461F58A" wp14:editId="5452FDC1">
            <wp:extent cx="2520000" cy="2520000"/>
            <wp:effectExtent l="0" t="0" r="0" b="0"/>
            <wp:docPr id="520309595" name="Gráfico 1">
              <a:extLst xmlns:a="http://schemas.openxmlformats.org/drawingml/2006/main">
                <a:ext uri="{FF2B5EF4-FFF2-40B4-BE49-F238E27FC236}">
                  <a16:creationId xmlns:a16="http://schemas.microsoft.com/office/drawing/2014/main" id="{DE075F8B-23D6-4B60-94E4-0E13CEA18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3E5978" w14:textId="77777777" w:rsidR="0045395E" w:rsidRDefault="0045395E" w:rsidP="0045395E">
      <w:pPr>
        <w:rPr>
          <w:rFonts w:ascii="Calibri" w:eastAsia="Calibri" w:hAnsi="Calibri"/>
          <w:b/>
          <w:sz w:val="20"/>
          <w:szCs w:val="20"/>
          <w:lang w:val="es-MX"/>
        </w:rPr>
      </w:pPr>
    </w:p>
    <w:p w14:paraId="2DCC397F" w14:textId="23A07893" w:rsidR="00C54CB1" w:rsidRPr="0045395E" w:rsidRDefault="00C54CB1" w:rsidP="0045395E">
      <w:pPr>
        <w:rPr>
          <w:rFonts w:ascii="Calibri" w:eastAsia="Calibri" w:hAnsi="Calibri"/>
          <w:bCs/>
          <w:color w:val="FF0000"/>
          <w:sz w:val="20"/>
          <w:szCs w:val="20"/>
          <w:lang w:val="es-MX"/>
        </w:rPr>
      </w:pPr>
      <w:r w:rsidRPr="0045395E">
        <w:rPr>
          <w:rFonts w:ascii="Calibri" w:eastAsia="Calibri" w:hAnsi="Calibri"/>
          <w:b/>
          <w:sz w:val="20"/>
          <w:szCs w:val="20"/>
          <w:lang w:val="es-MX"/>
        </w:rPr>
        <w:t xml:space="preserve">Por su parte, al interior de la inflación anual del componente </w:t>
      </w:r>
      <w:r w:rsidR="00240E62" w:rsidRPr="0045395E">
        <w:rPr>
          <w:rFonts w:ascii="Calibri" w:eastAsia="Calibri" w:hAnsi="Calibri"/>
          <w:b/>
          <w:sz w:val="20"/>
          <w:szCs w:val="20"/>
          <w:lang w:val="es-MX"/>
        </w:rPr>
        <w:t xml:space="preserve">no </w:t>
      </w:r>
      <w:r w:rsidRPr="0045395E">
        <w:rPr>
          <w:rFonts w:ascii="Calibri" w:eastAsia="Calibri" w:hAnsi="Calibri"/>
          <w:b/>
          <w:sz w:val="20"/>
          <w:szCs w:val="20"/>
          <w:lang w:val="es-MX"/>
        </w:rPr>
        <w:t>subyacente, destaca que</w:t>
      </w:r>
      <w:r w:rsidR="00E07B15" w:rsidRPr="0045395E">
        <w:rPr>
          <w:rFonts w:ascii="Calibri" w:eastAsia="Calibri" w:hAnsi="Calibri"/>
          <w:b/>
          <w:sz w:val="20"/>
          <w:szCs w:val="20"/>
          <w:lang w:val="es-MX"/>
        </w:rPr>
        <w:t xml:space="preserve"> (Figura 8 y 9)</w:t>
      </w:r>
      <w:r w:rsidRPr="0045395E">
        <w:rPr>
          <w:rFonts w:ascii="Calibri" w:eastAsia="Calibri" w:hAnsi="Calibri"/>
          <w:b/>
          <w:sz w:val="20"/>
          <w:szCs w:val="20"/>
          <w:lang w:val="es-MX"/>
        </w:rPr>
        <w:t>:</w:t>
      </w:r>
    </w:p>
    <w:p w14:paraId="0EC68E83" w14:textId="77777777" w:rsidR="00C54CB1" w:rsidRPr="0045395E" w:rsidRDefault="00C54CB1" w:rsidP="00C54CB1">
      <w:pPr>
        <w:jc w:val="both"/>
        <w:rPr>
          <w:rFonts w:ascii="Calibri" w:eastAsia="Calibri" w:hAnsi="Calibri"/>
          <w:bCs/>
          <w:color w:val="FF0000"/>
          <w:sz w:val="10"/>
          <w:szCs w:val="10"/>
          <w:lang w:val="es-MX"/>
        </w:rPr>
      </w:pPr>
    </w:p>
    <w:p w14:paraId="78A1A633" w14:textId="31087C87" w:rsidR="008C08CE" w:rsidRPr="006161A9" w:rsidRDefault="008C08CE" w:rsidP="008C08CE">
      <w:pPr>
        <w:pStyle w:val="Prrafodelista"/>
        <w:numPr>
          <w:ilvl w:val="0"/>
          <w:numId w:val="17"/>
        </w:numPr>
        <w:rPr>
          <w:rFonts w:ascii="Calibri" w:eastAsia="Calibri" w:hAnsi="Calibri"/>
          <w:bCs/>
          <w:sz w:val="20"/>
          <w:szCs w:val="20"/>
          <w:lang w:val="es-MX"/>
        </w:rPr>
      </w:pPr>
      <w:r w:rsidRPr="0045395E">
        <w:rPr>
          <w:rFonts w:ascii="Calibri" w:eastAsia="Calibri" w:hAnsi="Calibri"/>
          <w:bCs/>
          <w:sz w:val="20"/>
          <w:szCs w:val="20"/>
          <w:lang w:val="es-MX"/>
        </w:rPr>
        <w:t xml:space="preserve">Inflación </w:t>
      </w:r>
      <w:r w:rsidRPr="0045395E">
        <w:rPr>
          <w:rFonts w:ascii="Calibri" w:eastAsia="Calibri" w:hAnsi="Calibri"/>
          <w:b/>
          <w:sz w:val="20"/>
          <w:szCs w:val="20"/>
          <w:lang w:val="es-MX"/>
        </w:rPr>
        <w:t>no subyacente</w:t>
      </w:r>
      <w:r w:rsidRPr="0045395E">
        <w:rPr>
          <w:rFonts w:ascii="Calibri" w:eastAsia="Calibri" w:hAnsi="Calibri"/>
          <w:bCs/>
          <w:sz w:val="20"/>
          <w:szCs w:val="20"/>
          <w:lang w:val="es-MX"/>
        </w:rPr>
        <w:t xml:space="preserve"> (7.</w:t>
      </w:r>
      <w:r w:rsidR="006E04E7" w:rsidRPr="0045395E">
        <w:rPr>
          <w:rFonts w:ascii="Calibri" w:eastAsia="Calibri" w:hAnsi="Calibri"/>
          <w:bCs/>
          <w:sz w:val="20"/>
          <w:szCs w:val="20"/>
          <w:lang w:val="es-MX"/>
        </w:rPr>
        <w:t>00</w:t>
      </w:r>
      <w:r w:rsidRPr="0045395E">
        <w:rPr>
          <w:rFonts w:ascii="Calibri" w:eastAsia="Calibri" w:hAnsi="Calibri"/>
          <w:bCs/>
          <w:sz w:val="20"/>
          <w:szCs w:val="20"/>
          <w:lang w:val="es-MX"/>
        </w:rPr>
        <w:t xml:space="preserve">%), </w:t>
      </w:r>
      <w:r w:rsidR="006E04E7" w:rsidRPr="0045395E">
        <w:rPr>
          <w:rFonts w:ascii="Calibri" w:eastAsia="Calibri" w:hAnsi="Calibri"/>
          <w:bCs/>
          <w:sz w:val="20"/>
          <w:szCs w:val="20"/>
          <w:lang w:val="es-MX"/>
        </w:rPr>
        <w:t>hilando tres quincenas de desaceleración</w:t>
      </w:r>
      <w:r w:rsidRPr="006E04E7">
        <w:rPr>
          <w:rFonts w:ascii="Calibri" w:eastAsia="Calibri" w:hAnsi="Calibri"/>
          <w:bCs/>
          <w:sz w:val="20"/>
          <w:szCs w:val="20"/>
          <w:lang w:val="es-MX"/>
        </w:rPr>
        <w:t xml:space="preserve"> y ubicándose en su menor </w:t>
      </w:r>
      <w:r w:rsidRPr="006161A9">
        <w:rPr>
          <w:rFonts w:ascii="Calibri" w:eastAsia="Calibri" w:hAnsi="Calibri"/>
          <w:bCs/>
          <w:sz w:val="20"/>
          <w:szCs w:val="20"/>
          <w:lang w:val="es-MX"/>
        </w:rPr>
        <w:t xml:space="preserve">tasa anual desde </w:t>
      </w:r>
      <w:r w:rsidR="006E04E7" w:rsidRPr="006161A9">
        <w:rPr>
          <w:rFonts w:ascii="Calibri" w:eastAsia="Calibri" w:hAnsi="Calibri"/>
          <w:bCs/>
          <w:sz w:val="20"/>
          <w:szCs w:val="20"/>
          <w:lang w:val="es-MX"/>
        </w:rPr>
        <w:t>la segunda quincena de septiembre (6.28%).</w:t>
      </w:r>
    </w:p>
    <w:p w14:paraId="2445D2DB" w14:textId="50577FF6" w:rsidR="00240E62" w:rsidRPr="00946789" w:rsidRDefault="00240E62" w:rsidP="00240E62">
      <w:pPr>
        <w:pStyle w:val="Prrafodelista"/>
        <w:numPr>
          <w:ilvl w:val="0"/>
          <w:numId w:val="17"/>
        </w:numPr>
        <w:jc w:val="both"/>
        <w:rPr>
          <w:rFonts w:ascii="Calibri" w:eastAsia="Calibri" w:hAnsi="Calibri"/>
          <w:bCs/>
          <w:sz w:val="20"/>
          <w:szCs w:val="20"/>
          <w:lang w:val="es-MX"/>
        </w:rPr>
      </w:pPr>
      <w:r w:rsidRPr="006161A9">
        <w:rPr>
          <w:rFonts w:ascii="Calibri" w:eastAsia="Calibri" w:hAnsi="Calibri"/>
          <w:bCs/>
          <w:sz w:val="20"/>
          <w:szCs w:val="20"/>
          <w:lang w:val="es-MX"/>
        </w:rPr>
        <w:t xml:space="preserve">La inflación anual de </w:t>
      </w:r>
      <w:r w:rsidRPr="006161A9">
        <w:rPr>
          <w:rFonts w:ascii="Calibri" w:eastAsia="Calibri" w:hAnsi="Calibri"/>
          <w:b/>
          <w:sz w:val="20"/>
          <w:szCs w:val="20"/>
          <w:lang w:val="es-MX"/>
        </w:rPr>
        <w:t>agropecuarios</w:t>
      </w:r>
      <w:r w:rsidRPr="006161A9">
        <w:rPr>
          <w:rFonts w:ascii="Calibri" w:eastAsia="Calibri" w:hAnsi="Calibri"/>
          <w:bCs/>
          <w:sz w:val="20"/>
          <w:szCs w:val="20"/>
          <w:lang w:val="es-MX"/>
        </w:rPr>
        <w:t xml:space="preserve"> (</w:t>
      </w:r>
      <w:r w:rsidR="006D3591" w:rsidRPr="006161A9">
        <w:rPr>
          <w:rFonts w:ascii="Calibri" w:eastAsia="Calibri" w:hAnsi="Calibri"/>
          <w:bCs/>
          <w:sz w:val="20"/>
          <w:szCs w:val="20"/>
          <w:lang w:val="es-MX"/>
        </w:rPr>
        <w:t>8.68</w:t>
      </w:r>
      <w:r w:rsidRPr="006161A9">
        <w:rPr>
          <w:rFonts w:ascii="Calibri" w:eastAsia="Calibri" w:hAnsi="Calibri"/>
          <w:bCs/>
          <w:sz w:val="20"/>
          <w:szCs w:val="20"/>
          <w:lang w:val="es-MX"/>
        </w:rPr>
        <w:t xml:space="preserve">%) </w:t>
      </w:r>
      <w:r w:rsidR="00076058" w:rsidRPr="006161A9">
        <w:rPr>
          <w:rFonts w:ascii="Calibri" w:eastAsia="Calibri" w:hAnsi="Calibri"/>
          <w:bCs/>
          <w:sz w:val="20"/>
          <w:szCs w:val="20"/>
          <w:lang w:val="es-MX"/>
        </w:rPr>
        <w:t xml:space="preserve">y la de </w:t>
      </w:r>
      <w:r w:rsidR="00076058" w:rsidRPr="006161A9">
        <w:rPr>
          <w:rFonts w:ascii="Calibri" w:eastAsia="Calibri" w:hAnsi="Calibri"/>
          <w:b/>
          <w:sz w:val="20"/>
          <w:szCs w:val="20"/>
          <w:lang w:val="es-MX"/>
        </w:rPr>
        <w:t>frutas y verd</w:t>
      </w:r>
      <w:r w:rsidR="00076058" w:rsidRPr="00946789">
        <w:rPr>
          <w:rFonts w:ascii="Calibri" w:eastAsia="Calibri" w:hAnsi="Calibri"/>
          <w:b/>
          <w:sz w:val="20"/>
          <w:szCs w:val="20"/>
          <w:lang w:val="es-MX"/>
        </w:rPr>
        <w:t>uras</w:t>
      </w:r>
      <w:r w:rsidR="00076058" w:rsidRPr="00946789">
        <w:rPr>
          <w:rFonts w:ascii="Calibri" w:eastAsia="Calibri" w:hAnsi="Calibri"/>
          <w:bCs/>
          <w:sz w:val="20"/>
          <w:szCs w:val="20"/>
          <w:lang w:val="es-MX"/>
        </w:rPr>
        <w:t xml:space="preserve"> (1</w:t>
      </w:r>
      <w:r w:rsidR="006D3591" w:rsidRPr="00946789">
        <w:rPr>
          <w:rFonts w:ascii="Calibri" w:eastAsia="Calibri" w:hAnsi="Calibri"/>
          <w:bCs/>
          <w:sz w:val="20"/>
          <w:szCs w:val="20"/>
          <w:lang w:val="es-MX"/>
        </w:rPr>
        <w:t>1.23</w:t>
      </w:r>
      <w:r w:rsidR="00076058" w:rsidRPr="00946789">
        <w:rPr>
          <w:rFonts w:ascii="Calibri" w:eastAsia="Calibri" w:hAnsi="Calibri"/>
          <w:bCs/>
          <w:sz w:val="20"/>
          <w:szCs w:val="20"/>
          <w:lang w:val="es-MX"/>
        </w:rPr>
        <w:t xml:space="preserve">%), </w:t>
      </w:r>
      <w:r w:rsidRPr="00946789">
        <w:rPr>
          <w:rFonts w:ascii="Calibri" w:eastAsia="Calibri" w:hAnsi="Calibri"/>
          <w:bCs/>
          <w:sz w:val="20"/>
          <w:szCs w:val="20"/>
          <w:lang w:val="es-MX"/>
        </w:rPr>
        <w:t xml:space="preserve">se </w:t>
      </w:r>
      <w:r w:rsidR="00076058" w:rsidRPr="00946789">
        <w:rPr>
          <w:rFonts w:ascii="Calibri" w:eastAsia="Calibri" w:hAnsi="Calibri"/>
          <w:bCs/>
          <w:sz w:val="20"/>
          <w:szCs w:val="20"/>
          <w:lang w:val="es-MX"/>
        </w:rPr>
        <w:t>desaceleraron</w:t>
      </w:r>
      <w:r w:rsidRPr="00946789">
        <w:rPr>
          <w:rFonts w:ascii="Calibri" w:eastAsia="Calibri" w:hAnsi="Calibri"/>
          <w:bCs/>
          <w:sz w:val="20"/>
          <w:szCs w:val="20"/>
          <w:lang w:val="es-MX"/>
        </w:rPr>
        <w:t xml:space="preserve"> </w:t>
      </w:r>
      <w:r w:rsidR="006161A9" w:rsidRPr="00946789">
        <w:rPr>
          <w:rFonts w:ascii="Calibri" w:eastAsia="Calibri" w:hAnsi="Calibri"/>
          <w:bCs/>
          <w:sz w:val="20"/>
          <w:szCs w:val="20"/>
          <w:lang w:val="es-MX"/>
        </w:rPr>
        <w:t>por tercera quincena consecutiva</w:t>
      </w:r>
      <w:r w:rsidR="00076058" w:rsidRPr="00946789">
        <w:rPr>
          <w:rFonts w:ascii="Calibri" w:eastAsia="Calibri" w:hAnsi="Calibri"/>
          <w:bCs/>
          <w:sz w:val="20"/>
          <w:szCs w:val="20"/>
          <w:lang w:val="es-MX"/>
        </w:rPr>
        <w:t xml:space="preserve">, ubicándose ambas en sus menores tasas </w:t>
      </w:r>
      <w:r w:rsidR="006161A9" w:rsidRPr="00946789">
        <w:rPr>
          <w:rFonts w:ascii="Calibri" w:eastAsia="Calibri" w:hAnsi="Calibri"/>
          <w:bCs/>
          <w:sz w:val="20"/>
          <w:szCs w:val="20"/>
          <w:lang w:val="es-MX"/>
        </w:rPr>
        <w:t xml:space="preserve">desde </w:t>
      </w:r>
      <w:r w:rsidR="001065D4" w:rsidRPr="00946789">
        <w:rPr>
          <w:rFonts w:ascii="Calibri" w:eastAsia="Calibri" w:hAnsi="Calibri"/>
          <w:bCs/>
          <w:sz w:val="20"/>
          <w:szCs w:val="20"/>
          <w:lang w:val="es-MX"/>
        </w:rPr>
        <w:t>la</w:t>
      </w:r>
      <w:r w:rsidR="006161A9" w:rsidRPr="00946789">
        <w:rPr>
          <w:rFonts w:ascii="Calibri" w:eastAsia="Calibri" w:hAnsi="Calibri"/>
          <w:bCs/>
          <w:sz w:val="20"/>
          <w:szCs w:val="20"/>
          <w:lang w:val="es-MX"/>
        </w:rPr>
        <w:t xml:space="preserve"> segunda quincena de septiembre (7.02% y 8.15%, respectivamente). </w:t>
      </w:r>
      <w:r w:rsidR="00076058" w:rsidRPr="00946789">
        <w:rPr>
          <w:rFonts w:ascii="Calibri" w:eastAsia="Calibri" w:hAnsi="Calibri"/>
          <w:bCs/>
          <w:sz w:val="20"/>
          <w:szCs w:val="20"/>
          <w:lang w:val="es-MX"/>
        </w:rPr>
        <w:t>No obstante, todavía se encuentran en niveles muy elevados.</w:t>
      </w:r>
    </w:p>
    <w:p w14:paraId="73E8FEA4" w14:textId="4EE38885" w:rsidR="00240E62" w:rsidRPr="00946789" w:rsidRDefault="00240E62" w:rsidP="00240E62">
      <w:pPr>
        <w:pStyle w:val="Prrafodelista"/>
        <w:numPr>
          <w:ilvl w:val="0"/>
          <w:numId w:val="17"/>
        </w:numPr>
        <w:jc w:val="both"/>
        <w:rPr>
          <w:rFonts w:ascii="Calibri" w:eastAsia="Calibri" w:hAnsi="Calibri"/>
          <w:bCs/>
          <w:sz w:val="20"/>
          <w:szCs w:val="20"/>
          <w:lang w:val="es-MX"/>
        </w:rPr>
      </w:pPr>
      <w:r w:rsidRPr="00946789">
        <w:rPr>
          <w:rFonts w:ascii="Calibri" w:eastAsia="Calibri" w:hAnsi="Calibri"/>
          <w:bCs/>
          <w:sz w:val="20"/>
          <w:szCs w:val="20"/>
          <w:lang w:val="es-MX"/>
        </w:rPr>
        <w:t xml:space="preserve">Los </w:t>
      </w:r>
      <w:r w:rsidRPr="00946789">
        <w:rPr>
          <w:rFonts w:ascii="Calibri" w:eastAsia="Calibri" w:hAnsi="Calibri"/>
          <w:b/>
          <w:sz w:val="20"/>
          <w:szCs w:val="20"/>
          <w:lang w:val="es-MX"/>
        </w:rPr>
        <w:t>productos pecuarios</w:t>
      </w:r>
      <w:r w:rsidRPr="00946789">
        <w:rPr>
          <w:rFonts w:ascii="Calibri" w:eastAsia="Calibri" w:hAnsi="Calibri"/>
          <w:bCs/>
          <w:sz w:val="20"/>
          <w:szCs w:val="20"/>
          <w:lang w:val="es-MX"/>
        </w:rPr>
        <w:t xml:space="preserve"> (</w:t>
      </w:r>
      <w:r w:rsidR="00076058" w:rsidRPr="00946789">
        <w:rPr>
          <w:rFonts w:ascii="Calibri" w:eastAsia="Calibri" w:hAnsi="Calibri"/>
          <w:bCs/>
          <w:sz w:val="20"/>
          <w:szCs w:val="20"/>
          <w:lang w:val="es-MX"/>
        </w:rPr>
        <w:t>5.</w:t>
      </w:r>
      <w:r w:rsidR="001065D4" w:rsidRPr="00946789">
        <w:rPr>
          <w:rFonts w:ascii="Calibri" w:eastAsia="Calibri" w:hAnsi="Calibri"/>
          <w:bCs/>
          <w:sz w:val="20"/>
          <w:szCs w:val="20"/>
          <w:lang w:val="es-MX"/>
        </w:rPr>
        <w:t>79</w:t>
      </w:r>
      <w:r w:rsidRPr="00946789">
        <w:rPr>
          <w:rFonts w:ascii="Calibri" w:eastAsia="Calibri" w:hAnsi="Calibri"/>
          <w:bCs/>
          <w:sz w:val="20"/>
          <w:szCs w:val="20"/>
          <w:lang w:val="es-MX"/>
        </w:rPr>
        <w:t xml:space="preserve">%), </w:t>
      </w:r>
      <w:r w:rsidR="001065D4" w:rsidRPr="00946789">
        <w:rPr>
          <w:rFonts w:ascii="Calibri" w:eastAsia="Calibri" w:hAnsi="Calibri"/>
          <w:bCs/>
          <w:sz w:val="20"/>
          <w:szCs w:val="20"/>
          <w:lang w:val="es-MX"/>
        </w:rPr>
        <w:t xml:space="preserve">rompieron una racha de tres quincenas seguidas de desaceleración, mostrando la mayor tasa desde la segunda quincena de octubre. </w:t>
      </w:r>
    </w:p>
    <w:p w14:paraId="2840454D" w14:textId="7C348E47" w:rsidR="000A0F71" w:rsidRDefault="00076058" w:rsidP="000A0F71">
      <w:pPr>
        <w:pStyle w:val="Prrafodelista"/>
        <w:numPr>
          <w:ilvl w:val="0"/>
          <w:numId w:val="17"/>
        </w:numPr>
        <w:jc w:val="both"/>
        <w:rPr>
          <w:rFonts w:ascii="Calibri" w:eastAsia="Calibri" w:hAnsi="Calibri"/>
          <w:bCs/>
          <w:sz w:val="20"/>
          <w:szCs w:val="20"/>
          <w:lang w:val="es-MX"/>
        </w:rPr>
      </w:pPr>
      <w:r w:rsidRPr="00946789">
        <w:rPr>
          <w:rFonts w:ascii="Calibri" w:eastAsia="Calibri" w:hAnsi="Calibri"/>
          <w:bCs/>
          <w:sz w:val="20"/>
          <w:szCs w:val="20"/>
          <w:lang w:val="es-MX"/>
        </w:rPr>
        <w:t>La</w:t>
      </w:r>
      <w:r w:rsidR="00063FAE" w:rsidRPr="00946789">
        <w:rPr>
          <w:rFonts w:ascii="Calibri" w:eastAsia="Calibri" w:hAnsi="Calibri"/>
          <w:bCs/>
          <w:sz w:val="20"/>
          <w:szCs w:val="20"/>
          <w:lang w:val="es-MX"/>
        </w:rPr>
        <w:t xml:space="preserve">s </w:t>
      </w:r>
      <w:r w:rsidR="00240E62" w:rsidRPr="00946789">
        <w:rPr>
          <w:rFonts w:ascii="Calibri" w:eastAsia="Calibri" w:hAnsi="Calibri"/>
          <w:bCs/>
          <w:sz w:val="20"/>
          <w:szCs w:val="20"/>
          <w:lang w:val="es-MX"/>
        </w:rPr>
        <w:t>inflaci</w:t>
      </w:r>
      <w:r w:rsidR="00063FAE" w:rsidRPr="00946789">
        <w:rPr>
          <w:rFonts w:ascii="Calibri" w:eastAsia="Calibri" w:hAnsi="Calibri"/>
          <w:bCs/>
          <w:sz w:val="20"/>
          <w:szCs w:val="20"/>
          <w:lang w:val="es-MX"/>
        </w:rPr>
        <w:t>ones</w:t>
      </w:r>
      <w:r w:rsidR="00240E62" w:rsidRPr="00946789">
        <w:rPr>
          <w:rFonts w:ascii="Calibri" w:eastAsia="Calibri" w:hAnsi="Calibri"/>
          <w:bCs/>
          <w:sz w:val="20"/>
          <w:szCs w:val="20"/>
          <w:lang w:val="es-MX"/>
        </w:rPr>
        <w:t xml:space="preserve"> de </w:t>
      </w:r>
      <w:r w:rsidR="00240E62" w:rsidRPr="00946789">
        <w:rPr>
          <w:rFonts w:ascii="Calibri" w:eastAsia="Calibri" w:hAnsi="Calibri"/>
          <w:b/>
          <w:sz w:val="20"/>
          <w:szCs w:val="20"/>
          <w:lang w:val="es-MX"/>
        </w:rPr>
        <w:t>energéticos y tarifas autorizadas por el gobierno</w:t>
      </w:r>
      <w:r w:rsidR="00240E62" w:rsidRPr="00946789">
        <w:rPr>
          <w:rFonts w:ascii="Calibri" w:eastAsia="Calibri" w:hAnsi="Calibri"/>
          <w:bCs/>
          <w:sz w:val="20"/>
          <w:szCs w:val="20"/>
          <w:lang w:val="es-MX"/>
        </w:rPr>
        <w:t xml:space="preserve"> (</w:t>
      </w:r>
      <w:r w:rsidR="00946789" w:rsidRPr="00946789">
        <w:rPr>
          <w:rFonts w:ascii="Calibri" w:eastAsia="Calibri" w:hAnsi="Calibri"/>
          <w:bCs/>
          <w:sz w:val="20"/>
          <w:szCs w:val="20"/>
          <w:lang w:val="es-MX"/>
        </w:rPr>
        <w:t>5.11</w:t>
      </w:r>
      <w:r w:rsidR="00240E62" w:rsidRPr="00946789">
        <w:rPr>
          <w:rFonts w:ascii="Calibri" w:eastAsia="Calibri" w:hAnsi="Calibri"/>
          <w:bCs/>
          <w:sz w:val="20"/>
          <w:szCs w:val="20"/>
          <w:lang w:val="es-MX"/>
        </w:rPr>
        <w:t>%)</w:t>
      </w:r>
      <w:r w:rsidR="00946789" w:rsidRPr="00946789">
        <w:rPr>
          <w:rFonts w:ascii="Calibri" w:eastAsia="Calibri" w:hAnsi="Calibri"/>
          <w:bCs/>
          <w:sz w:val="20"/>
          <w:szCs w:val="20"/>
          <w:lang w:val="es-MX"/>
        </w:rPr>
        <w:t xml:space="preserve">, la </w:t>
      </w:r>
      <w:r w:rsidR="00063FAE" w:rsidRPr="00946789">
        <w:rPr>
          <w:rFonts w:ascii="Calibri" w:eastAsia="Calibri" w:hAnsi="Calibri"/>
          <w:bCs/>
          <w:sz w:val="20"/>
          <w:szCs w:val="20"/>
          <w:lang w:val="es-MX"/>
        </w:rPr>
        <w:t xml:space="preserve">de </w:t>
      </w:r>
      <w:r w:rsidR="00063FAE" w:rsidRPr="00946789">
        <w:rPr>
          <w:rFonts w:ascii="Calibri" w:eastAsia="Calibri" w:hAnsi="Calibri"/>
          <w:b/>
          <w:sz w:val="20"/>
          <w:szCs w:val="20"/>
          <w:lang w:val="es-MX"/>
        </w:rPr>
        <w:t>energéticos</w:t>
      </w:r>
      <w:r w:rsidR="00063FAE" w:rsidRPr="00946789">
        <w:rPr>
          <w:rFonts w:ascii="Calibri" w:eastAsia="Calibri" w:hAnsi="Calibri"/>
          <w:bCs/>
          <w:sz w:val="20"/>
          <w:szCs w:val="20"/>
          <w:lang w:val="es-MX"/>
        </w:rPr>
        <w:t xml:space="preserve"> (</w:t>
      </w:r>
      <w:r w:rsidR="00946789" w:rsidRPr="00946789">
        <w:rPr>
          <w:rFonts w:ascii="Calibri" w:eastAsia="Calibri" w:hAnsi="Calibri"/>
          <w:bCs/>
          <w:sz w:val="20"/>
          <w:szCs w:val="20"/>
          <w:lang w:val="es-MX"/>
        </w:rPr>
        <w:t>5.91</w:t>
      </w:r>
      <w:r w:rsidR="00063FAE" w:rsidRPr="00946789">
        <w:rPr>
          <w:rFonts w:ascii="Calibri" w:eastAsia="Calibri" w:hAnsi="Calibri"/>
          <w:bCs/>
          <w:sz w:val="20"/>
          <w:szCs w:val="20"/>
          <w:lang w:val="es-MX"/>
        </w:rPr>
        <w:t xml:space="preserve">%) </w:t>
      </w:r>
      <w:r w:rsidR="00946789" w:rsidRPr="00946789">
        <w:rPr>
          <w:rFonts w:ascii="Calibri" w:eastAsia="Calibri" w:hAnsi="Calibri"/>
          <w:bCs/>
          <w:sz w:val="20"/>
          <w:szCs w:val="20"/>
          <w:lang w:val="es-MX"/>
        </w:rPr>
        <w:t xml:space="preserve">y la de </w:t>
      </w:r>
      <w:r w:rsidR="00946789" w:rsidRPr="00B77F7D">
        <w:rPr>
          <w:rFonts w:ascii="Calibri" w:eastAsia="Calibri" w:hAnsi="Calibri"/>
          <w:b/>
          <w:sz w:val="20"/>
          <w:szCs w:val="20"/>
          <w:lang w:val="es-MX"/>
        </w:rPr>
        <w:t>tarifas</w:t>
      </w:r>
      <w:r w:rsidR="00946789" w:rsidRPr="00946789">
        <w:rPr>
          <w:rFonts w:ascii="Calibri" w:eastAsia="Calibri" w:hAnsi="Calibri"/>
          <w:bCs/>
          <w:sz w:val="20"/>
          <w:szCs w:val="20"/>
          <w:lang w:val="es-MX"/>
        </w:rPr>
        <w:t xml:space="preserve"> (4.17%), </w:t>
      </w:r>
      <w:r w:rsidR="00946789" w:rsidRPr="00946789">
        <w:rPr>
          <w:rFonts w:ascii="Calibri" w:eastAsia="Calibri" w:hAnsi="Calibri"/>
          <w:bCs/>
          <w:sz w:val="20"/>
          <w:szCs w:val="20"/>
          <w:lang w:val="es-MX"/>
        </w:rPr>
        <w:t>se</w:t>
      </w:r>
      <w:r w:rsidR="00946789" w:rsidRPr="00946789">
        <w:rPr>
          <w:rFonts w:ascii="Calibri" w:eastAsia="Calibri" w:hAnsi="Calibri"/>
          <w:bCs/>
          <w:sz w:val="20"/>
          <w:szCs w:val="20"/>
          <w:lang w:val="es-MX"/>
        </w:rPr>
        <w:t xml:space="preserve"> </w:t>
      </w:r>
      <w:r w:rsidR="00946789" w:rsidRPr="00946789">
        <w:rPr>
          <w:rFonts w:ascii="Calibri" w:eastAsia="Calibri" w:hAnsi="Calibri"/>
          <w:bCs/>
          <w:sz w:val="20"/>
          <w:szCs w:val="20"/>
          <w:lang w:val="es-MX"/>
        </w:rPr>
        <w:t xml:space="preserve">aceleraron por </w:t>
      </w:r>
      <w:r w:rsidR="00946789" w:rsidRPr="00946789">
        <w:rPr>
          <w:rFonts w:ascii="Calibri" w:eastAsia="Calibri" w:hAnsi="Calibri"/>
          <w:bCs/>
          <w:sz w:val="20"/>
          <w:szCs w:val="20"/>
          <w:lang w:val="es-MX"/>
        </w:rPr>
        <w:t>segunda</w:t>
      </w:r>
      <w:r w:rsidR="00946789" w:rsidRPr="00946789">
        <w:rPr>
          <w:rFonts w:ascii="Calibri" w:eastAsia="Calibri" w:hAnsi="Calibri"/>
          <w:bCs/>
          <w:sz w:val="20"/>
          <w:szCs w:val="20"/>
          <w:lang w:val="es-MX"/>
        </w:rPr>
        <w:t xml:space="preserve"> quincena consecutiva. Con esto, se registraron las </w:t>
      </w:r>
      <w:r w:rsidR="00946789" w:rsidRPr="00946789">
        <w:rPr>
          <w:rFonts w:ascii="Calibri" w:eastAsia="Calibri" w:hAnsi="Calibri"/>
          <w:bCs/>
          <w:sz w:val="20"/>
          <w:szCs w:val="20"/>
          <w:lang w:val="es-MX"/>
        </w:rPr>
        <w:t>mayores</w:t>
      </w:r>
      <w:r w:rsidR="00946789" w:rsidRPr="00946789">
        <w:rPr>
          <w:rFonts w:ascii="Calibri" w:eastAsia="Calibri" w:hAnsi="Calibri"/>
          <w:bCs/>
          <w:sz w:val="20"/>
          <w:szCs w:val="20"/>
          <w:lang w:val="es-MX"/>
        </w:rPr>
        <w:t xml:space="preserve"> inflaciones desde </w:t>
      </w:r>
      <w:r w:rsidR="00946789" w:rsidRPr="00946789">
        <w:rPr>
          <w:rFonts w:ascii="Calibri" w:eastAsia="Calibri" w:hAnsi="Calibri"/>
          <w:bCs/>
          <w:sz w:val="20"/>
          <w:szCs w:val="20"/>
          <w:lang w:val="es-MX"/>
        </w:rPr>
        <w:t>la segunda quincena de septiembre</w:t>
      </w:r>
      <w:r w:rsidR="00946789" w:rsidRPr="00946789">
        <w:rPr>
          <w:rFonts w:ascii="Calibri" w:eastAsia="Calibri" w:hAnsi="Calibri"/>
          <w:bCs/>
          <w:sz w:val="20"/>
          <w:szCs w:val="20"/>
          <w:lang w:val="es-MX"/>
        </w:rPr>
        <w:t xml:space="preserve"> para los primeros dos (</w:t>
      </w:r>
      <w:r w:rsidR="00946789" w:rsidRPr="00946789">
        <w:rPr>
          <w:rFonts w:ascii="Calibri" w:eastAsia="Calibri" w:hAnsi="Calibri"/>
          <w:bCs/>
          <w:sz w:val="20"/>
          <w:szCs w:val="20"/>
          <w:lang w:val="es-MX"/>
        </w:rPr>
        <w:t>5.35</w:t>
      </w:r>
      <w:r w:rsidR="00946789" w:rsidRPr="00946789">
        <w:rPr>
          <w:rFonts w:ascii="Calibri" w:eastAsia="Calibri" w:hAnsi="Calibri"/>
          <w:bCs/>
          <w:sz w:val="20"/>
          <w:szCs w:val="20"/>
          <w:lang w:val="es-MX"/>
        </w:rPr>
        <w:t xml:space="preserve">% y </w:t>
      </w:r>
      <w:r w:rsidR="00946789" w:rsidRPr="00946789">
        <w:rPr>
          <w:rFonts w:ascii="Calibri" w:eastAsia="Calibri" w:hAnsi="Calibri"/>
          <w:bCs/>
          <w:sz w:val="20"/>
          <w:szCs w:val="20"/>
          <w:lang w:val="es-MX"/>
        </w:rPr>
        <w:t>5.94</w:t>
      </w:r>
      <w:r w:rsidR="00946789" w:rsidRPr="00946789">
        <w:rPr>
          <w:rFonts w:ascii="Calibri" w:eastAsia="Calibri" w:hAnsi="Calibri"/>
          <w:bCs/>
          <w:sz w:val="20"/>
          <w:szCs w:val="20"/>
          <w:lang w:val="es-MX"/>
        </w:rPr>
        <w:t xml:space="preserve">%, respectivamente) y desde la </w:t>
      </w:r>
      <w:r w:rsidR="00946789">
        <w:rPr>
          <w:rFonts w:ascii="Calibri" w:eastAsia="Calibri" w:hAnsi="Calibri"/>
          <w:bCs/>
          <w:sz w:val="20"/>
          <w:szCs w:val="20"/>
          <w:lang w:val="es-MX"/>
        </w:rPr>
        <w:t>primera</w:t>
      </w:r>
      <w:r w:rsidR="00946789" w:rsidRPr="00946789">
        <w:rPr>
          <w:rFonts w:ascii="Calibri" w:eastAsia="Calibri" w:hAnsi="Calibri"/>
          <w:bCs/>
          <w:sz w:val="20"/>
          <w:szCs w:val="20"/>
          <w:lang w:val="es-MX"/>
        </w:rPr>
        <w:t xml:space="preserve"> quincena de </w:t>
      </w:r>
      <w:r w:rsidR="00946789">
        <w:rPr>
          <w:rFonts w:ascii="Calibri" w:eastAsia="Calibri" w:hAnsi="Calibri"/>
          <w:bCs/>
          <w:sz w:val="20"/>
          <w:szCs w:val="20"/>
          <w:lang w:val="es-MX"/>
        </w:rPr>
        <w:t>enero</w:t>
      </w:r>
      <w:r w:rsidR="00946789" w:rsidRPr="00946789">
        <w:rPr>
          <w:rFonts w:ascii="Calibri" w:eastAsia="Calibri" w:hAnsi="Calibri"/>
          <w:bCs/>
          <w:sz w:val="20"/>
          <w:szCs w:val="20"/>
          <w:lang w:val="es-MX"/>
        </w:rPr>
        <w:t xml:space="preserve"> para las tarifas (</w:t>
      </w:r>
      <w:r w:rsidR="00946789">
        <w:rPr>
          <w:rFonts w:ascii="Calibri" w:eastAsia="Calibri" w:hAnsi="Calibri"/>
          <w:bCs/>
          <w:sz w:val="20"/>
          <w:szCs w:val="20"/>
          <w:lang w:val="es-MX"/>
        </w:rPr>
        <w:t>4.41</w:t>
      </w:r>
      <w:r w:rsidR="00946789" w:rsidRPr="00946789">
        <w:rPr>
          <w:rFonts w:ascii="Calibri" w:eastAsia="Calibri" w:hAnsi="Calibri"/>
          <w:bCs/>
          <w:sz w:val="20"/>
          <w:szCs w:val="20"/>
          <w:lang w:val="es-MX"/>
        </w:rPr>
        <w:t>%).</w:t>
      </w:r>
    </w:p>
    <w:p w14:paraId="2FF886E5" w14:textId="77777777" w:rsidR="0011179C" w:rsidRPr="0045395E" w:rsidRDefault="0011179C" w:rsidP="0011179C">
      <w:pPr>
        <w:jc w:val="both"/>
        <w:rPr>
          <w:rFonts w:ascii="Calibri" w:eastAsia="Calibri" w:hAnsi="Calibri"/>
          <w:bCs/>
          <w:sz w:val="10"/>
          <w:szCs w:val="10"/>
          <w:lang w:val="es-MX"/>
        </w:rPr>
      </w:pPr>
    </w:p>
    <w:p w14:paraId="7ECB2DD1" w14:textId="22C838CC" w:rsidR="005C17A1" w:rsidRDefault="00115879" w:rsidP="000A0F71">
      <w:pPr>
        <w:jc w:val="both"/>
        <w:rPr>
          <w:rFonts w:ascii="Calibri" w:eastAsia="Calibri" w:hAnsi="Calibri"/>
          <w:bCs/>
          <w:sz w:val="20"/>
          <w:szCs w:val="20"/>
          <w:lang w:val="es-MX"/>
        </w:rPr>
      </w:pPr>
      <w:r w:rsidRPr="00115879">
        <w:rPr>
          <w:rFonts w:ascii="Calibri" w:eastAsia="Calibri" w:hAnsi="Calibri"/>
          <w:bCs/>
          <w:sz w:val="20"/>
          <w:szCs w:val="20"/>
          <w:lang w:val="es-MX"/>
        </w:rPr>
        <w:t xml:space="preserve">Al igual que el componente subyacente, el comportamiento del </w:t>
      </w:r>
      <w:r w:rsidR="008A77A7">
        <w:rPr>
          <w:rFonts w:ascii="Calibri" w:eastAsia="Calibri" w:hAnsi="Calibri"/>
          <w:bCs/>
          <w:sz w:val="20"/>
          <w:szCs w:val="20"/>
          <w:lang w:val="es-MX"/>
        </w:rPr>
        <w:t xml:space="preserve">componente </w:t>
      </w:r>
      <w:r w:rsidRPr="00115879">
        <w:rPr>
          <w:rFonts w:ascii="Calibri" w:eastAsia="Calibri" w:hAnsi="Calibri"/>
          <w:bCs/>
          <w:sz w:val="20"/>
          <w:szCs w:val="20"/>
          <w:lang w:val="es-MX"/>
        </w:rPr>
        <w:t xml:space="preserve">no subyacente muestra señales mixtas que </w:t>
      </w:r>
      <w:r>
        <w:rPr>
          <w:rFonts w:ascii="Calibri" w:eastAsia="Calibri" w:hAnsi="Calibri"/>
          <w:bCs/>
          <w:sz w:val="20"/>
          <w:szCs w:val="20"/>
          <w:lang w:val="es-MX"/>
        </w:rPr>
        <w:t>pudieran sugerir</w:t>
      </w:r>
      <w:r w:rsidRPr="00115879">
        <w:rPr>
          <w:rFonts w:ascii="Calibri" w:eastAsia="Calibri" w:hAnsi="Calibri"/>
          <w:bCs/>
          <w:sz w:val="20"/>
          <w:szCs w:val="20"/>
          <w:lang w:val="es-MX"/>
        </w:rPr>
        <w:t xml:space="preserve"> el inicio de una moderación en su trayectoria, dado que las tasas de los subcomponentes (tanto las más altas como bajas) se han registrado este año, en contraste con quincenas previas, cuando los niveles eran más cercanos a patrones de años anteriores. Además, aunque este componente ha </w:t>
      </w:r>
      <w:r w:rsidRPr="00115879">
        <w:rPr>
          <w:rFonts w:ascii="Calibri" w:eastAsia="Calibri" w:hAnsi="Calibri"/>
          <w:bCs/>
          <w:sz w:val="20"/>
          <w:szCs w:val="20"/>
          <w:lang w:val="es-MX"/>
        </w:rPr>
        <w:lastRenderedPageBreak/>
        <w:t xml:space="preserve">continuado desacelerándose y contribuyendo a la disminución de la inflación general en México, su alta volatilidad y sensibilidad a factores externos podrían </w:t>
      </w:r>
      <w:r>
        <w:rPr>
          <w:rFonts w:ascii="Calibri" w:eastAsia="Calibri" w:hAnsi="Calibri"/>
          <w:bCs/>
          <w:sz w:val="20"/>
          <w:szCs w:val="20"/>
          <w:lang w:val="es-MX"/>
        </w:rPr>
        <w:t>ejercer</w:t>
      </w:r>
      <w:r w:rsidRPr="00115879">
        <w:rPr>
          <w:rFonts w:ascii="Calibri" w:eastAsia="Calibri" w:hAnsi="Calibri"/>
          <w:bCs/>
          <w:sz w:val="20"/>
          <w:szCs w:val="20"/>
          <w:lang w:val="es-MX"/>
        </w:rPr>
        <w:t xml:space="preserve"> presiones </w:t>
      </w:r>
      <w:r>
        <w:rPr>
          <w:rFonts w:ascii="Calibri" w:eastAsia="Calibri" w:hAnsi="Calibri"/>
          <w:bCs/>
          <w:sz w:val="20"/>
          <w:szCs w:val="20"/>
          <w:lang w:val="es-MX"/>
        </w:rPr>
        <w:t xml:space="preserve">adicionales </w:t>
      </w:r>
      <w:r w:rsidRPr="00115879">
        <w:rPr>
          <w:rFonts w:ascii="Calibri" w:eastAsia="Calibri" w:hAnsi="Calibri"/>
          <w:bCs/>
          <w:sz w:val="20"/>
          <w:szCs w:val="20"/>
          <w:lang w:val="es-MX"/>
        </w:rPr>
        <w:t>en el corto plazo.</w:t>
      </w:r>
    </w:p>
    <w:p w14:paraId="7B6E71BC" w14:textId="77777777" w:rsidR="00013637" w:rsidRPr="0045395E" w:rsidRDefault="00013637" w:rsidP="000A0F71">
      <w:pPr>
        <w:jc w:val="both"/>
        <w:rPr>
          <w:rFonts w:ascii="Calibri" w:eastAsia="Calibri" w:hAnsi="Calibri"/>
          <w:bCs/>
          <w:sz w:val="10"/>
          <w:szCs w:val="10"/>
          <w:lang w:val="es-MX"/>
        </w:rPr>
      </w:pPr>
    </w:p>
    <w:p w14:paraId="58C92959" w14:textId="08F9D961" w:rsidR="00013637" w:rsidRDefault="00013637" w:rsidP="00223FB7">
      <w:pPr>
        <w:jc w:val="center"/>
        <w:rPr>
          <w:rFonts w:ascii="Calibri" w:eastAsia="Calibri" w:hAnsi="Calibri"/>
          <w:bCs/>
          <w:sz w:val="20"/>
          <w:szCs w:val="20"/>
          <w:lang w:val="es-MX"/>
        </w:rPr>
      </w:pPr>
      <w:r>
        <w:rPr>
          <w:noProof/>
        </w:rPr>
        <w:drawing>
          <wp:inline distT="0" distB="0" distL="0" distR="0" wp14:anchorId="348DBA01" wp14:editId="20211BF2">
            <wp:extent cx="2520000" cy="2520000"/>
            <wp:effectExtent l="0" t="0" r="0" b="0"/>
            <wp:docPr id="751495634" name="Gráfico 1">
              <a:extLst xmlns:a="http://schemas.openxmlformats.org/drawingml/2006/main">
                <a:ext uri="{FF2B5EF4-FFF2-40B4-BE49-F238E27FC236}">
                  <a16:creationId xmlns:a16="http://schemas.microsoft.com/office/drawing/2014/main" id="{7A0BF138-898B-4A3F-91ED-A03CDEF28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23FB7">
        <w:rPr>
          <w:rFonts w:ascii="Calibri" w:eastAsia="Calibri" w:hAnsi="Calibri"/>
          <w:bCs/>
          <w:sz w:val="20"/>
          <w:szCs w:val="20"/>
          <w:lang w:val="es-MX"/>
        </w:rPr>
        <w:t xml:space="preserve">          </w:t>
      </w:r>
      <w:r>
        <w:rPr>
          <w:noProof/>
        </w:rPr>
        <w:drawing>
          <wp:inline distT="0" distB="0" distL="0" distR="0" wp14:anchorId="2629A404" wp14:editId="4411A196">
            <wp:extent cx="2520000" cy="2520000"/>
            <wp:effectExtent l="0" t="0" r="0" b="0"/>
            <wp:docPr id="780181218" name="Gráfico 1">
              <a:extLst xmlns:a="http://schemas.openxmlformats.org/drawingml/2006/main">
                <a:ext uri="{FF2B5EF4-FFF2-40B4-BE49-F238E27FC236}">
                  <a16:creationId xmlns:a16="http://schemas.microsoft.com/office/drawing/2014/main" id="{E8AC6700-12D0-4B3B-8566-15596CB38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F969B3" w14:textId="77777777" w:rsidR="000A0F71" w:rsidRDefault="000A0F71" w:rsidP="00D17244">
      <w:pPr>
        <w:jc w:val="both"/>
        <w:rPr>
          <w:rFonts w:ascii="Inter" w:eastAsia="Inter" w:hAnsi="Inter" w:cs="Inter"/>
          <w:b/>
          <w:color w:val="F5A800"/>
          <w:sz w:val="18"/>
          <w:szCs w:val="18"/>
        </w:rPr>
      </w:pPr>
    </w:p>
    <w:p w14:paraId="7B0722E9" w14:textId="77777777" w:rsidR="0045395E" w:rsidRDefault="00D16BA9" w:rsidP="00440E8F">
      <w:pPr>
        <w:ind w:hanging="851"/>
        <w:jc w:val="both"/>
        <w:rPr>
          <w:rFonts w:ascii="Inter" w:eastAsia="Inter" w:hAnsi="Inter" w:cs="Inter"/>
          <w:b/>
          <w:color w:val="F5A800"/>
          <w:sz w:val="18"/>
          <w:szCs w:val="18"/>
        </w:rPr>
      </w:pPr>
      <w:r>
        <w:rPr>
          <w:rFonts w:ascii="Inter" w:eastAsia="Inter" w:hAnsi="Inter" w:cs="Inter"/>
          <w:b/>
          <w:color w:val="F5A800"/>
          <w:sz w:val="18"/>
          <w:szCs w:val="18"/>
        </w:rPr>
        <w:t>__________</w:t>
      </w:r>
    </w:p>
    <w:p w14:paraId="2D8CF4CB" w14:textId="18FB4808" w:rsidR="004A0FEB" w:rsidRPr="00440E8F" w:rsidRDefault="00D16BA9" w:rsidP="00440E8F">
      <w:pPr>
        <w:ind w:hanging="851"/>
        <w:jc w:val="both"/>
        <w:rPr>
          <w:rFonts w:asciiTheme="majorHAnsi" w:hAnsiTheme="majorHAnsi" w:cstheme="majorHAnsi"/>
        </w:rPr>
      </w:pPr>
      <w:r>
        <w:rPr>
          <w:rFonts w:ascii="Inter" w:eastAsia="Inter" w:hAnsi="Inter" w:cs="Inter"/>
          <w:b/>
          <w:color w:val="F5A800"/>
          <w:sz w:val="18"/>
          <w:szCs w:val="18"/>
        </w:rPr>
        <w:t>_______________________________________________</w:t>
      </w:r>
    </w:p>
    <w:p w14:paraId="6F7B40F7" w14:textId="7289DA69" w:rsidR="00AC7356" w:rsidRPr="00C56C4F" w:rsidRDefault="00D16BA9" w:rsidP="00C56C4F">
      <w:pPr>
        <w:ind w:left="-850" w:right="-680"/>
        <w:jc w:val="both"/>
        <w:rPr>
          <w:rFonts w:asciiTheme="majorHAnsi" w:eastAsia="Inter" w:hAnsiTheme="majorHAnsi" w:cs="Inter"/>
          <w:b/>
          <w:sz w:val="20"/>
          <w:szCs w:val="22"/>
        </w:rPr>
      </w:pPr>
      <w:r w:rsidRPr="00C56C4F">
        <w:rPr>
          <w:rFonts w:asciiTheme="majorHAnsi" w:eastAsia="Inter" w:hAnsiTheme="majorHAnsi" w:cs="Inter"/>
          <w:b/>
          <w:sz w:val="20"/>
          <w:szCs w:val="22"/>
        </w:rPr>
        <w:t xml:space="preserve">Gabriela Siller Pagaza, PhD </w:t>
      </w:r>
    </w:p>
    <w:p w14:paraId="69AAB3AE" w14:textId="77777777" w:rsidR="000925EC" w:rsidRPr="00C56C4F" w:rsidRDefault="00D16BA9" w:rsidP="00C56C4F">
      <w:pPr>
        <w:ind w:left="-850" w:right="-680"/>
        <w:jc w:val="both"/>
        <w:rPr>
          <w:rFonts w:asciiTheme="majorHAnsi" w:eastAsia="Inter" w:hAnsiTheme="majorHAnsi" w:cs="Inter"/>
          <w:sz w:val="16"/>
          <w:szCs w:val="18"/>
        </w:rPr>
      </w:pPr>
      <w:r w:rsidRPr="00C56C4F">
        <w:rPr>
          <w:rFonts w:asciiTheme="majorHAnsi" w:eastAsia="Inter" w:hAnsiTheme="majorHAnsi" w:cs="Inter"/>
          <w:sz w:val="16"/>
          <w:szCs w:val="18"/>
        </w:rPr>
        <w:t>Directora de Análisis Económico-Financiero</w:t>
      </w:r>
    </w:p>
    <w:p w14:paraId="11F7FA54" w14:textId="77777777" w:rsidR="000925EC" w:rsidRPr="00C56C4F" w:rsidRDefault="000925EC" w:rsidP="00C56C4F">
      <w:pPr>
        <w:ind w:left="-850" w:right="-680"/>
        <w:jc w:val="both"/>
        <w:rPr>
          <w:rFonts w:asciiTheme="majorHAnsi" w:eastAsia="Inter" w:hAnsiTheme="majorHAnsi" w:cs="Inter"/>
          <w:color w:val="FF0000"/>
          <w:sz w:val="16"/>
          <w:szCs w:val="18"/>
          <w:u w:val="single"/>
          <w:lang w:val="en-US"/>
        </w:rPr>
      </w:pPr>
      <w:hyperlink r:id="rId17" w:history="1">
        <w:r w:rsidRPr="00C56C4F">
          <w:rPr>
            <w:rStyle w:val="Hipervnculo"/>
            <w:rFonts w:asciiTheme="majorHAnsi" w:eastAsia="Inter" w:hAnsiTheme="majorHAnsi" w:cs="Inter"/>
            <w:sz w:val="16"/>
            <w:szCs w:val="18"/>
            <w:lang w:val="en-US"/>
          </w:rPr>
          <w:t>gsiller@bancobase.com</w:t>
        </w:r>
      </w:hyperlink>
    </w:p>
    <w:p w14:paraId="0AF5098E" w14:textId="7B51F384" w:rsidR="00AC7356" w:rsidRPr="00C56C4F" w:rsidRDefault="00D16BA9" w:rsidP="00C56C4F">
      <w:pPr>
        <w:ind w:left="-850" w:right="-680"/>
        <w:jc w:val="both"/>
        <w:rPr>
          <w:rFonts w:asciiTheme="majorHAnsi" w:eastAsia="Inter" w:hAnsiTheme="majorHAnsi" w:cs="Inter"/>
          <w:sz w:val="16"/>
          <w:szCs w:val="18"/>
          <w:u w:val="single"/>
          <w:lang w:val="en-US"/>
        </w:rPr>
      </w:pPr>
      <w:r w:rsidRPr="00C56C4F">
        <w:rPr>
          <w:rFonts w:asciiTheme="majorHAnsi" w:eastAsia="Inter" w:hAnsiTheme="majorHAnsi" w:cs="Inter"/>
          <w:sz w:val="16"/>
          <w:szCs w:val="18"/>
          <w:lang w:val="en-US"/>
        </w:rPr>
        <w:t>Tel. 81512200 ext. 223</w:t>
      </w:r>
    </w:p>
    <w:p w14:paraId="757C45E7" w14:textId="77777777" w:rsidR="00AC7356" w:rsidRPr="00C56C4F" w:rsidRDefault="00AC7356" w:rsidP="00C56C4F">
      <w:pPr>
        <w:ind w:left="-850" w:right="-680"/>
        <w:jc w:val="both"/>
        <w:rPr>
          <w:rFonts w:asciiTheme="majorHAnsi" w:eastAsia="Inter" w:hAnsiTheme="majorHAnsi" w:cs="Inter"/>
          <w:sz w:val="16"/>
          <w:szCs w:val="18"/>
          <w:lang w:val="en-US"/>
        </w:rPr>
      </w:pPr>
    </w:p>
    <w:p w14:paraId="3B92AD66" w14:textId="77777777" w:rsidR="00AC7356" w:rsidRPr="00C56C4F" w:rsidRDefault="00D16BA9" w:rsidP="00C56C4F">
      <w:pPr>
        <w:ind w:left="-850" w:right="-680"/>
        <w:jc w:val="both"/>
        <w:rPr>
          <w:rFonts w:asciiTheme="majorHAnsi" w:eastAsia="Inter" w:hAnsiTheme="majorHAnsi" w:cs="Inter"/>
          <w:b/>
          <w:sz w:val="20"/>
          <w:szCs w:val="22"/>
        </w:rPr>
      </w:pPr>
      <w:r w:rsidRPr="00C56C4F">
        <w:rPr>
          <w:rFonts w:asciiTheme="majorHAnsi" w:eastAsia="Inter" w:hAnsiTheme="majorHAnsi" w:cs="Inter"/>
          <w:b/>
          <w:sz w:val="20"/>
          <w:szCs w:val="22"/>
        </w:rPr>
        <w:t xml:space="preserve">Jesús </w:t>
      </w:r>
      <w:proofErr w:type="spellStart"/>
      <w:r w:rsidRPr="00C56C4F">
        <w:rPr>
          <w:rFonts w:asciiTheme="majorHAnsi" w:eastAsia="Inter" w:hAnsiTheme="majorHAnsi" w:cs="Inter"/>
          <w:b/>
          <w:sz w:val="20"/>
          <w:szCs w:val="22"/>
        </w:rPr>
        <w:t>Anacarsis</w:t>
      </w:r>
      <w:proofErr w:type="spellEnd"/>
      <w:r w:rsidRPr="00C56C4F">
        <w:rPr>
          <w:rFonts w:asciiTheme="majorHAnsi" w:eastAsia="Inter" w:hAnsiTheme="majorHAnsi" w:cs="Inter"/>
          <w:b/>
          <w:sz w:val="20"/>
          <w:szCs w:val="22"/>
        </w:rPr>
        <w:t xml:space="preserve"> López Flores</w:t>
      </w:r>
    </w:p>
    <w:p w14:paraId="0512ECE9" w14:textId="77777777" w:rsidR="00AC7356" w:rsidRPr="00C56C4F" w:rsidRDefault="00D16BA9" w:rsidP="00C56C4F">
      <w:pPr>
        <w:ind w:left="-850" w:right="-680"/>
        <w:jc w:val="both"/>
        <w:rPr>
          <w:rFonts w:asciiTheme="majorHAnsi" w:eastAsia="Inter" w:hAnsiTheme="majorHAnsi" w:cs="Inter"/>
          <w:sz w:val="16"/>
          <w:szCs w:val="18"/>
        </w:rPr>
      </w:pPr>
      <w:r w:rsidRPr="00C56C4F">
        <w:rPr>
          <w:rFonts w:asciiTheme="majorHAnsi" w:eastAsia="Inter" w:hAnsiTheme="majorHAnsi" w:cs="Inter"/>
          <w:sz w:val="16"/>
          <w:szCs w:val="18"/>
        </w:rPr>
        <w:t>Subdirector de Análisis Económico-Financiero</w:t>
      </w:r>
    </w:p>
    <w:p w14:paraId="2899A12A" w14:textId="0B13C4BF" w:rsidR="00E8535E" w:rsidRDefault="000925EC" w:rsidP="00E8535E">
      <w:pPr>
        <w:ind w:left="-850" w:right="-680"/>
        <w:jc w:val="both"/>
        <w:rPr>
          <w:rStyle w:val="Hipervnculo"/>
          <w:rFonts w:asciiTheme="majorHAnsi" w:eastAsia="Inter" w:hAnsiTheme="majorHAnsi" w:cs="Inter"/>
          <w:sz w:val="16"/>
          <w:szCs w:val="18"/>
        </w:rPr>
      </w:pPr>
      <w:hyperlink r:id="rId18" w:history="1">
        <w:r w:rsidRPr="00C56C4F">
          <w:rPr>
            <w:rStyle w:val="Hipervnculo"/>
            <w:rFonts w:asciiTheme="majorHAnsi" w:eastAsia="Inter" w:hAnsiTheme="majorHAnsi" w:cs="Inter"/>
            <w:sz w:val="16"/>
            <w:szCs w:val="18"/>
          </w:rPr>
          <w:t>jlopezf@bancobase.com</w:t>
        </w:r>
      </w:hyperlink>
    </w:p>
    <w:p w14:paraId="4E92A5CC" w14:textId="6AEF5514" w:rsidR="000925EC" w:rsidRPr="00C56C4F" w:rsidRDefault="000925EC" w:rsidP="00C56C4F">
      <w:pPr>
        <w:ind w:left="-850" w:right="-680"/>
        <w:jc w:val="both"/>
        <w:rPr>
          <w:rFonts w:asciiTheme="majorHAnsi" w:eastAsia="Inter" w:hAnsiTheme="majorHAnsi" w:cs="Inter"/>
          <w:color w:val="FF0000"/>
          <w:sz w:val="16"/>
          <w:szCs w:val="18"/>
          <w:u w:val="single"/>
        </w:rPr>
      </w:pPr>
    </w:p>
    <w:p w14:paraId="60CF8038" w14:textId="64AE0F17" w:rsidR="000925EC" w:rsidRPr="00C56C4F" w:rsidRDefault="000925EC" w:rsidP="00C56C4F">
      <w:pPr>
        <w:ind w:left="-850" w:right="-680"/>
        <w:jc w:val="both"/>
        <w:rPr>
          <w:rFonts w:asciiTheme="majorHAnsi" w:eastAsia="Inter" w:hAnsiTheme="majorHAnsi" w:cs="Inter"/>
          <w:b/>
          <w:sz w:val="20"/>
          <w:szCs w:val="22"/>
        </w:rPr>
      </w:pPr>
      <w:r w:rsidRPr="00C56C4F">
        <w:rPr>
          <w:rFonts w:asciiTheme="majorHAnsi" w:eastAsia="Inter" w:hAnsiTheme="majorHAnsi" w:cs="Inter"/>
          <w:b/>
          <w:sz w:val="20"/>
          <w:szCs w:val="22"/>
        </w:rPr>
        <w:t xml:space="preserve">Paulina Di Giusto Fernández </w:t>
      </w:r>
    </w:p>
    <w:p w14:paraId="1376DF01" w14:textId="77777777" w:rsidR="000925EC" w:rsidRPr="00C56C4F" w:rsidRDefault="000925EC" w:rsidP="00C56C4F">
      <w:pPr>
        <w:ind w:left="-850" w:right="-680"/>
        <w:jc w:val="both"/>
        <w:rPr>
          <w:rFonts w:asciiTheme="majorHAnsi" w:eastAsia="Inter" w:hAnsiTheme="majorHAnsi" w:cs="Inter"/>
          <w:sz w:val="16"/>
          <w:szCs w:val="18"/>
        </w:rPr>
      </w:pPr>
      <w:r w:rsidRPr="00C56C4F">
        <w:rPr>
          <w:rFonts w:asciiTheme="majorHAnsi" w:eastAsia="Inter" w:hAnsiTheme="majorHAnsi" w:cs="Inter"/>
          <w:sz w:val="16"/>
          <w:szCs w:val="18"/>
        </w:rPr>
        <w:t>Analista Económico-Financiero</w:t>
      </w:r>
    </w:p>
    <w:p w14:paraId="71358754" w14:textId="4374F3E4" w:rsidR="00E8535E" w:rsidRPr="00FF1965" w:rsidRDefault="000925EC" w:rsidP="00FF1965">
      <w:pPr>
        <w:ind w:left="-850" w:right="-680"/>
        <w:jc w:val="both"/>
        <w:rPr>
          <w:rFonts w:asciiTheme="majorHAnsi" w:eastAsia="Inter" w:hAnsiTheme="majorHAnsi" w:cs="Inter"/>
          <w:sz w:val="16"/>
          <w:szCs w:val="18"/>
          <w:u w:val="single"/>
        </w:rPr>
      </w:pPr>
      <w:hyperlink r:id="rId19" w:history="1">
        <w:r w:rsidRPr="00C56C4F">
          <w:rPr>
            <w:rStyle w:val="Hipervnculo"/>
            <w:rFonts w:asciiTheme="majorHAnsi" w:eastAsia="Inter" w:hAnsiTheme="majorHAnsi" w:cs="Inter"/>
            <w:sz w:val="16"/>
            <w:szCs w:val="18"/>
          </w:rPr>
          <w:t>pdigiusto@bancobase.com</w:t>
        </w:r>
      </w:hyperlink>
    </w:p>
    <w:p w14:paraId="19780738" w14:textId="77777777" w:rsidR="00FF1965" w:rsidRDefault="00FF1965" w:rsidP="00D243FD">
      <w:pPr>
        <w:ind w:right="-681"/>
        <w:jc w:val="both"/>
        <w:rPr>
          <w:rFonts w:ascii="Calibri" w:eastAsia="Inter" w:hAnsi="Calibri" w:cs="Inter"/>
          <w:sz w:val="22"/>
          <w:szCs w:val="16"/>
        </w:rPr>
      </w:pPr>
    </w:p>
    <w:p w14:paraId="491A92B8" w14:textId="04B972B4" w:rsidR="00AC7356" w:rsidRPr="00D243FD" w:rsidRDefault="00D16BA9" w:rsidP="0068370C">
      <w:pPr>
        <w:ind w:left="-850" w:right="-681"/>
        <w:jc w:val="both"/>
        <w:rPr>
          <w:rFonts w:ascii="Calibri" w:eastAsia="Inter" w:hAnsi="Calibri" w:cs="Inter"/>
          <w:sz w:val="16"/>
          <w:szCs w:val="10"/>
        </w:rPr>
      </w:pPr>
      <w:r w:rsidRPr="00D243FD">
        <w:rPr>
          <w:rFonts w:ascii="Calibri" w:eastAsia="Inter" w:hAnsi="Calibri" w:cs="Inter"/>
          <w:sz w:val="14"/>
          <w:szCs w:val="8"/>
        </w:rPr>
        <w:t>El presente documento ha sido elaborado por Banco Base para fines EXCLUSIVAMENTE INFORMATIVOS y basado en información y datos de fuentes consideradas como fidedignas. Sin embargo; Banco Base NO asume responsabilidad alguna por cualquier interpretación; decisión y/o uso que cualquier tercero realice con base en la información aquí presentada. La presente información pretende ser exclusivamente una herramienta de apoyo y en ningún momento deberá ser utilizada por ningún tercero para fines políticos; partidistas y/o cualquier otro fin análogo.</w:t>
      </w:r>
    </w:p>
    <w:sectPr w:rsidR="00AC7356" w:rsidRPr="00D243FD">
      <w:headerReference w:type="default" r:id="rId20"/>
      <w:footerReference w:type="default" r:id="rId21"/>
      <w:pgSz w:w="12240" w:h="15840"/>
      <w:pgMar w:top="2268" w:right="1440" w:bottom="1440"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4DE2" w14:textId="77777777" w:rsidR="00D319EB" w:rsidRDefault="00D319EB">
      <w:r>
        <w:separator/>
      </w:r>
    </w:p>
  </w:endnote>
  <w:endnote w:type="continuationSeparator" w:id="0">
    <w:p w14:paraId="5DAAE897" w14:textId="77777777" w:rsidR="00D319EB" w:rsidRDefault="00D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97407" w14:textId="77777777" w:rsidR="00EB2963" w:rsidRDefault="00EB2963">
    <w:pPr>
      <w:ind w:right="-822" w:hanging="992"/>
    </w:pPr>
  </w:p>
  <w:p w14:paraId="6495001D" w14:textId="29BC9985" w:rsidR="00EB2963" w:rsidRDefault="00EB2963">
    <w:pPr>
      <w:ind w:left="-850" w:right="-681"/>
      <w:rPr>
        <w:rFonts w:ascii="Inter" w:eastAsia="Inter" w:hAnsi="Inter" w:cs="Inter"/>
        <w:color w:val="F5A800"/>
      </w:rPr>
    </w:pPr>
    <w:r>
      <w:rPr>
        <w:rFonts w:ascii="Inter" w:eastAsia="Inter" w:hAnsi="Inter" w:cs="Inter"/>
        <w:b/>
        <w:color w:val="F5A800"/>
        <w:sz w:val="18"/>
        <w:szCs w:val="18"/>
      </w:rPr>
      <w:t>_______________________________________________________________________________________________________________________</w:t>
    </w:r>
  </w:p>
  <w:p w14:paraId="433254FE" w14:textId="77777777" w:rsidR="00EB2963" w:rsidRDefault="00EB2963">
    <w:pPr>
      <w:ind w:left="-1133" w:right="-1106"/>
      <w:jc w:val="center"/>
      <w:rPr>
        <w:rFonts w:ascii="Inter" w:eastAsia="Inter" w:hAnsi="Inter" w:cs="Inter"/>
      </w:rPr>
    </w:pPr>
  </w:p>
  <w:p w14:paraId="7CF362CB" w14:textId="77777777" w:rsidR="00EB2963" w:rsidRDefault="00EB2963">
    <w:pPr>
      <w:ind w:left="-850" w:right="-681"/>
      <w:jc w:val="center"/>
      <w:rPr>
        <w:rFonts w:ascii="Inter" w:eastAsia="Inter" w:hAnsi="Inter" w:cs="Inter"/>
      </w:rPr>
    </w:pPr>
    <w:r>
      <w:rPr>
        <w:rFonts w:ascii="Inter" w:eastAsia="Inter" w:hAnsi="Inter" w:cs="Inter"/>
      </w:rPr>
      <w:t>Tu experto en divisas y pagos internacionales</w:t>
    </w:r>
  </w:p>
  <w:p w14:paraId="202213BD" w14:textId="77777777" w:rsidR="00EB2963" w:rsidRDefault="00EB2963">
    <w:pPr>
      <w:ind w:left="-850" w:right="-681"/>
      <w:jc w:val="center"/>
      <w:rPr>
        <w:rFonts w:ascii="Inter" w:eastAsia="Inter" w:hAnsi="Inter" w:cs="Inter"/>
        <w:b/>
        <w:sz w:val="20"/>
        <w:szCs w:val="20"/>
      </w:rPr>
    </w:pPr>
    <w:hyperlink r:id="rId1">
      <w:r>
        <w:rPr>
          <w:rFonts w:ascii="Inter" w:eastAsia="Inter" w:hAnsi="Inter" w:cs="Inter"/>
          <w:b/>
          <w:sz w:val="20"/>
          <w:szCs w:val="20"/>
        </w:rPr>
        <w:t>bancobase.com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1B25" w14:textId="77777777" w:rsidR="00D319EB" w:rsidRDefault="00D319EB">
      <w:r>
        <w:separator/>
      </w:r>
    </w:p>
  </w:footnote>
  <w:footnote w:type="continuationSeparator" w:id="0">
    <w:p w14:paraId="5B7F6C5B" w14:textId="77777777" w:rsidR="00D319EB" w:rsidRDefault="00D319EB">
      <w:r>
        <w:continuationSeparator/>
      </w:r>
    </w:p>
  </w:footnote>
  <w:footnote w:id="1">
    <w:p w14:paraId="51FD6C9C" w14:textId="4053CDF2" w:rsidR="00E07B15" w:rsidRPr="00655B64" w:rsidRDefault="00E07B15" w:rsidP="00E07B15">
      <w:pPr>
        <w:pStyle w:val="Textonotapie"/>
        <w:jc w:val="both"/>
        <w:rPr>
          <w:rFonts w:asciiTheme="majorHAnsi" w:hAnsiTheme="majorHAnsi" w:cstheme="majorHAnsi"/>
          <w:lang w:val="es-MX"/>
        </w:rPr>
      </w:pPr>
      <w:r w:rsidRPr="00DD5638">
        <w:rPr>
          <w:rStyle w:val="Refdenotaalpie"/>
          <w:rFonts w:asciiTheme="majorHAnsi" w:hAnsiTheme="majorHAnsi" w:cstheme="majorHAnsi"/>
          <w:sz w:val="22"/>
          <w:szCs w:val="22"/>
        </w:rPr>
        <w:footnoteRef/>
      </w:r>
      <w:r w:rsidRPr="00DD5638">
        <w:rPr>
          <w:rFonts w:asciiTheme="majorHAnsi" w:hAnsiTheme="majorHAnsi" w:cstheme="majorHAnsi"/>
          <w:sz w:val="22"/>
          <w:szCs w:val="22"/>
          <w:lang w:val="es-MX"/>
        </w:rPr>
        <w:t xml:space="preserve"> </w:t>
      </w:r>
      <w:r w:rsidRPr="00DD5638">
        <w:rPr>
          <w:rFonts w:asciiTheme="majorHAnsi" w:hAnsiTheme="majorHAnsi" w:cstheme="majorHAnsi"/>
          <w:sz w:val="18"/>
          <w:szCs w:val="18"/>
          <w:lang w:val="es-MX"/>
        </w:rPr>
        <w:t xml:space="preserve">Debido a la falta de datos detallados de los genéricos de mercancías para la primera quincena de </w:t>
      </w:r>
      <w:r w:rsidR="00BA315C">
        <w:rPr>
          <w:rFonts w:asciiTheme="majorHAnsi" w:hAnsiTheme="majorHAnsi" w:cstheme="majorHAnsi"/>
          <w:sz w:val="18"/>
          <w:szCs w:val="18"/>
          <w:lang w:val="es-MX"/>
        </w:rPr>
        <w:t>diciembre</w:t>
      </w:r>
      <w:r>
        <w:rPr>
          <w:rFonts w:asciiTheme="majorHAnsi" w:hAnsiTheme="majorHAnsi" w:cstheme="majorHAnsi"/>
          <w:sz w:val="18"/>
          <w:szCs w:val="18"/>
          <w:lang w:val="es-MX"/>
        </w:rPr>
        <w:t xml:space="preserve"> por parte de INEGI</w:t>
      </w:r>
      <w:r w:rsidRPr="00DD5638">
        <w:rPr>
          <w:rFonts w:asciiTheme="majorHAnsi" w:hAnsiTheme="majorHAnsi" w:cstheme="majorHAnsi"/>
          <w:sz w:val="18"/>
          <w:szCs w:val="18"/>
          <w:lang w:val="es-MX"/>
        </w:rPr>
        <w:t>, solo fue posible identificar con precisión 1</w:t>
      </w:r>
      <w:r w:rsidR="00F467AF">
        <w:rPr>
          <w:rFonts w:asciiTheme="majorHAnsi" w:hAnsiTheme="majorHAnsi" w:cstheme="majorHAnsi"/>
          <w:sz w:val="18"/>
          <w:szCs w:val="18"/>
          <w:lang w:val="es-MX"/>
        </w:rPr>
        <w:t>0</w:t>
      </w:r>
      <w:r w:rsidRPr="00DD5638">
        <w:rPr>
          <w:rFonts w:asciiTheme="majorHAnsi" w:hAnsiTheme="majorHAnsi" w:cstheme="majorHAnsi"/>
          <w:sz w:val="18"/>
          <w:szCs w:val="18"/>
          <w:lang w:val="es-MX"/>
        </w:rPr>
        <w:t xml:space="preserve"> genéricos de un total de 189 genéricos de mercancías.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ACF7" w14:textId="77777777" w:rsidR="00EB2963" w:rsidRDefault="00EB2963">
    <w:pPr>
      <w:pBdr>
        <w:top w:val="nil"/>
        <w:left w:val="nil"/>
        <w:bottom w:val="nil"/>
        <w:right w:val="nil"/>
        <w:between w:val="nil"/>
      </w:pBdr>
      <w:tabs>
        <w:tab w:val="center" w:pos="4419"/>
        <w:tab w:val="right" w:pos="8838"/>
      </w:tabs>
      <w:ind w:right="-681" w:hanging="850"/>
      <w:jc w:val="right"/>
      <w:rPr>
        <w:rFonts w:ascii="Inter" w:eastAsia="Inter" w:hAnsi="Inter" w:cs="Inter"/>
        <w:b/>
        <w:sz w:val="18"/>
        <w:szCs w:val="18"/>
      </w:rPr>
    </w:pPr>
    <w:r>
      <w:rPr>
        <w:noProof/>
        <w:lang w:val="en-US"/>
      </w:rPr>
      <w:drawing>
        <wp:anchor distT="114300" distB="114300" distL="114300" distR="114300" simplePos="0" relativeHeight="251658240" behindDoc="0" locked="0" layoutInCell="1" hidden="0" allowOverlap="1" wp14:anchorId="23E6408C" wp14:editId="53470B2F">
          <wp:simplePos x="0" y="0"/>
          <wp:positionH relativeFrom="column">
            <wp:posOffset>2028825</wp:posOffset>
          </wp:positionH>
          <wp:positionV relativeFrom="paragraph">
            <wp:posOffset>-285749</wp:posOffset>
          </wp:positionV>
          <wp:extent cx="1814830" cy="664586"/>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814830" cy="664586"/>
                  </a:xfrm>
                  <a:prstGeom prst="rect">
                    <a:avLst/>
                  </a:prstGeom>
                  <a:ln/>
                </pic:spPr>
              </pic:pic>
            </a:graphicData>
          </a:graphic>
        </wp:anchor>
      </w:drawing>
    </w:r>
  </w:p>
  <w:p w14:paraId="37644677" w14:textId="77777777" w:rsidR="00EB2963" w:rsidRDefault="00EB2963">
    <w:pPr>
      <w:pBdr>
        <w:top w:val="nil"/>
        <w:left w:val="nil"/>
        <w:bottom w:val="nil"/>
        <w:right w:val="nil"/>
        <w:between w:val="nil"/>
      </w:pBdr>
      <w:tabs>
        <w:tab w:val="center" w:pos="4419"/>
        <w:tab w:val="right" w:pos="8838"/>
      </w:tabs>
      <w:ind w:right="-681" w:hanging="850"/>
      <w:jc w:val="right"/>
      <w:rPr>
        <w:rFonts w:ascii="Inter" w:eastAsia="Inter" w:hAnsi="Inter" w:cs="Inter"/>
        <w:b/>
        <w:sz w:val="18"/>
        <w:szCs w:val="18"/>
      </w:rPr>
    </w:pPr>
  </w:p>
  <w:p w14:paraId="1CF008B1" w14:textId="77777777" w:rsidR="00EB2963" w:rsidRDefault="00EB2963">
    <w:pPr>
      <w:pBdr>
        <w:top w:val="nil"/>
        <w:left w:val="nil"/>
        <w:bottom w:val="nil"/>
        <w:right w:val="nil"/>
        <w:between w:val="nil"/>
      </w:pBdr>
      <w:tabs>
        <w:tab w:val="center" w:pos="4419"/>
        <w:tab w:val="right" w:pos="8838"/>
      </w:tabs>
      <w:ind w:right="-844" w:hanging="850"/>
    </w:pPr>
  </w:p>
  <w:p w14:paraId="3F8A3063" w14:textId="77777777" w:rsidR="00EB2963" w:rsidRDefault="00EB2963">
    <w:pPr>
      <w:pBdr>
        <w:top w:val="nil"/>
        <w:left w:val="nil"/>
        <w:bottom w:val="nil"/>
        <w:right w:val="nil"/>
        <w:between w:val="nil"/>
      </w:pBdr>
      <w:tabs>
        <w:tab w:val="center" w:pos="4419"/>
        <w:tab w:val="right" w:pos="8838"/>
      </w:tabs>
      <w:ind w:right="-844" w:hanging="1559"/>
      <w:jc w:val="center"/>
      <w:rPr>
        <w:color w:val="F5A800"/>
      </w:rPr>
    </w:pPr>
    <w:r>
      <w:rPr>
        <w:noProof/>
        <w:lang w:val="en-US"/>
      </w:rPr>
      <mc:AlternateContent>
        <mc:Choice Requires="wps">
          <w:drawing>
            <wp:anchor distT="114300" distB="114300" distL="114300" distR="114300" simplePos="0" relativeHeight="251659264" behindDoc="0" locked="0" layoutInCell="1" hidden="0" allowOverlap="1" wp14:anchorId="6784D91F" wp14:editId="6E8A6C4D">
              <wp:simplePos x="0" y="0"/>
              <wp:positionH relativeFrom="column">
                <wp:posOffset>-1071244</wp:posOffset>
              </wp:positionH>
              <wp:positionV relativeFrom="paragraph">
                <wp:posOffset>125760</wp:posOffset>
              </wp:positionV>
              <wp:extent cx="8014653" cy="64770"/>
              <wp:effectExtent l="0" t="0" r="0" b="0"/>
              <wp:wrapNone/>
              <wp:docPr id="1" name="Rectangle 1"/>
              <wp:cNvGraphicFramePr/>
              <a:graphic xmlns:a="http://schemas.openxmlformats.org/drawingml/2006/main">
                <a:graphicData uri="http://schemas.microsoft.com/office/word/2010/wordprocessingShape">
                  <wps:wsp>
                    <wps:cNvSpPr/>
                    <wps:spPr>
                      <a:xfrm>
                        <a:off x="1542300" y="3754950"/>
                        <a:ext cx="7607400" cy="50100"/>
                      </a:xfrm>
                      <a:prstGeom prst="rect">
                        <a:avLst/>
                      </a:prstGeom>
                      <a:solidFill>
                        <a:srgbClr val="F5A800"/>
                      </a:solidFill>
                      <a:ln>
                        <a:noFill/>
                      </a:ln>
                    </wps:spPr>
                    <wps:txbx>
                      <w:txbxContent>
                        <w:p w14:paraId="434F4179" w14:textId="77777777" w:rsidR="00EB2963" w:rsidRDefault="00EB2963">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6784D91F" id="Rectangle 1" o:spid="_x0000_s1026" style="position:absolute;left:0;text-align:left;margin-left:-84.35pt;margin-top:9.9pt;width:631.1pt;height:5.1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" fillcolor="#f5a800" stroked="f">
              <v:textbox inset="2.53958mm,2.53958mm,2.53958mm,2.53958mm">
                <w:txbxContent>
                  <w:p w14:paraId="434F4179" w14:textId="77777777" w:rsidR="00EB2963" w:rsidRDefault="00EB2963">
                    <w:pPr>
                      <w:jc w:val="center"/>
                      <w:textDirection w:val="btLr"/>
                    </w:pPr>
                  </w:p>
                </w:txbxContent>
              </v:textbox>
            </v:rect>
          </w:pict>
        </mc:Fallback>
      </mc:AlternateContent>
    </w:r>
  </w:p>
  <w:p w14:paraId="336F27BF" w14:textId="77777777" w:rsidR="00EB2963" w:rsidRDefault="00EB2963">
    <w:pPr>
      <w:pBdr>
        <w:top w:val="nil"/>
        <w:left w:val="nil"/>
        <w:bottom w:val="nil"/>
        <w:right w:val="nil"/>
        <w:between w:val="nil"/>
      </w:pBdr>
      <w:tabs>
        <w:tab w:val="center" w:pos="4419"/>
        <w:tab w:val="right" w:pos="8838"/>
      </w:tabs>
      <w:ind w:right="-844" w:hanging="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6C62"/>
    <w:multiLevelType w:val="hybridMultilevel"/>
    <w:tmpl w:val="9026832A"/>
    <w:lvl w:ilvl="0" w:tplc="8C1A5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6035F"/>
    <w:multiLevelType w:val="hybridMultilevel"/>
    <w:tmpl w:val="1658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4373C"/>
    <w:multiLevelType w:val="hybridMultilevel"/>
    <w:tmpl w:val="6DBE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47923"/>
    <w:multiLevelType w:val="multilevel"/>
    <w:tmpl w:val="26E2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80F66"/>
    <w:multiLevelType w:val="hybridMultilevel"/>
    <w:tmpl w:val="DA3EF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B1C42"/>
    <w:multiLevelType w:val="hybridMultilevel"/>
    <w:tmpl w:val="704A6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52A7B"/>
    <w:multiLevelType w:val="hybridMultilevel"/>
    <w:tmpl w:val="E5B4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40064"/>
    <w:multiLevelType w:val="hybridMultilevel"/>
    <w:tmpl w:val="C0FC3EE0"/>
    <w:lvl w:ilvl="0" w:tplc="63CAC5EE">
      <w:start w:val="1"/>
      <w:numFmt w:val="decimal"/>
      <w:lvlText w:val="%1."/>
      <w:lvlJc w:val="left"/>
      <w:pPr>
        <w:ind w:left="360" w:hanging="360"/>
      </w:pPr>
      <w:rPr>
        <w:rFonts w:ascii="Leelawadee UI" w:eastAsiaTheme="minorEastAsia" w:hAnsi="Leelawadee UI" w:cs="Leelawadee U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EA05BF"/>
    <w:multiLevelType w:val="hybridMultilevel"/>
    <w:tmpl w:val="2692F430"/>
    <w:lvl w:ilvl="0" w:tplc="71CCFE1C">
      <w:start w:val="9"/>
      <w:numFmt w:val="bullet"/>
      <w:lvlText w:val="-"/>
      <w:lvlJc w:val="left"/>
      <w:pPr>
        <w:ind w:left="720" w:hanging="360"/>
      </w:pPr>
      <w:rPr>
        <w:rFonts w:ascii="Leelawadee UI" w:eastAsiaTheme="minorHAnsi" w:hAnsi="Leelawadee UI" w:cs="Leelawade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22947"/>
    <w:multiLevelType w:val="hybridMultilevel"/>
    <w:tmpl w:val="0892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C279A"/>
    <w:multiLevelType w:val="hybridMultilevel"/>
    <w:tmpl w:val="DDBA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96D94"/>
    <w:multiLevelType w:val="hybridMultilevel"/>
    <w:tmpl w:val="6F12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8105F"/>
    <w:multiLevelType w:val="hybridMultilevel"/>
    <w:tmpl w:val="9412FAE2"/>
    <w:lvl w:ilvl="0" w:tplc="22B4BC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D0886"/>
    <w:multiLevelType w:val="hybridMultilevel"/>
    <w:tmpl w:val="3D821708"/>
    <w:lvl w:ilvl="0" w:tplc="8C1A50BC">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80744D1"/>
    <w:multiLevelType w:val="hybridMultilevel"/>
    <w:tmpl w:val="8EF2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36292"/>
    <w:multiLevelType w:val="hybridMultilevel"/>
    <w:tmpl w:val="A016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D2A7D"/>
    <w:multiLevelType w:val="hybridMultilevel"/>
    <w:tmpl w:val="32C6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4609"/>
    <w:multiLevelType w:val="hybridMultilevel"/>
    <w:tmpl w:val="079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30CD"/>
    <w:multiLevelType w:val="hybridMultilevel"/>
    <w:tmpl w:val="B8FA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B6FC5"/>
    <w:multiLevelType w:val="hybridMultilevel"/>
    <w:tmpl w:val="3EA0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D62CD"/>
    <w:multiLevelType w:val="hybridMultilevel"/>
    <w:tmpl w:val="0BCE3148"/>
    <w:lvl w:ilvl="0" w:tplc="E5349A60">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A4CF4"/>
    <w:multiLevelType w:val="hybridMultilevel"/>
    <w:tmpl w:val="C77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21CC7"/>
    <w:multiLevelType w:val="multilevel"/>
    <w:tmpl w:val="82520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7612276"/>
    <w:multiLevelType w:val="hybridMultilevel"/>
    <w:tmpl w:val="8E44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91159">
    <w:abstractNumId w:val="22"/>
  </w:num>
  <w:num w:numId="2" w16cid:durableId="1452629409">
    <w:abstractNumId w:val="9"/>
  </w:num>
  <w:num w:numId="3" w16cid:durableId="1840775649">
    <w:abstractNumId w:val="8"/>
  </w:num>
  <w:num w:numId="4" w16cid:durableId="984703453">
    <w:abstractNumId w:val="16"/>
  </w:num>
  <w:num w:numId="5" w16cid:durableId="396438341">
    <w:abstractNumId w:val="19"/>
  </w:num>
  <w:num w:numId="6" w16cid:durableId="1710033245">
    <w:abstractNumId w:val="21"/>
  </w:num>
  <w:num w:numId="7" w16cid:durableId="181164873">
    <w:abstractNumId w:val="23"/>
  </w:num>
  <w:num w:numId="8" w16cid:durableId="1164735703">
    <w:abstractNumId w:val="0"/>
  </w:num>
  <w:num w:numId="9" w16cid:durableId="324632137">
    <w:abstractNumId w:val="13"/>
  </w:num>
  <w:num w:numId="10" w16cid:durableId="1285500314">
    <w:abstractNumId w:val="3"/>
  </w:num>
  <w:num w:numId="11" w16cid:durableId="496847455">
    <w:abstractNumId w:val="6"/>
  </w:num>
  <w:num w:numId="12" w16cid:durableId="2107844430">
    <w:abstractNumId w:val="7"/>
  </w:num>
  <w:num w:numId="13" w16cid:durableId="1787237531">
    <w:abstractNumId w:val="5"/>
  </w:num>
  <w:num w:numId="14" w16cid:durableId="1044871183">
    <w:abstractNumId w:val="4"/>
  </w:num>
  <w:num w:numId="15" w16cid:durableId="1621035119">
    <w:abstractNumId w:val="20"/>
  </w:num>
  <w:num w:numId="16" w16cid:durableId="339821824">
    <w:abstractNumId w:val="12"/>
  </w:num>
  <w:num w:numId="17" w16cid:durableId="152378559">
    <w:abstractNumId w:val="1"/>
  </w:num>
  <w:num w:numId="18" w16cid:durableId="1945264449">
    <w:abstractNumId w:val="14"/>
  </w:num>
  <w:num w:numId="19" w16cid:durableId="696201718">
    <w:abstractNumId w:val="17"/>
  </w:num>
  <w:num w:numId="20" w16cid:durableId="884290648">
    <w:abstractNumId w:val="10"/>
  </w:num>
  <w:num w:numId="21" w16cid:durableId="1416436832">
    <w:abstractNumId w:val="15"/>
  </w:num>
  <w:num w:numId="22" w16cid:durableId="1780680908">
    <w:abstractNumId w:val="11"/>
  </w:num>
  <w:num w:numId="23" w16cid:durableId="231240754">
    <w:abstractNumId w:val="18"/>
  </w:num>
  <w:num w:numId="24" w16cid:durableId="138787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56"/>
    <w:rsid w:val="00013637"/>
    <w:rsid w:val="00017E58"/>
    <w:rsid w:val="00033BF6"/>
    <w:rsid w:val="00044258"/>
    <w:rsid w:val="00063FAE"/>
    <w:rsid w:val="00072D66"/>
    <w:rsid w:val="00076058"/>
    <w:rsid w:val="000920FF"/>
    <w:rsid w:val="000925EC"/>
    <w:rsid w:val="000A0F71"/>
    <w:rsid w:val="000A2160"/>
    <w:rsid w:val="000A3D47"/>
    <w:rsid w:val="000A6B57"/>
    <w:rsid w:val="000C0704"/>
    <w:rsid w:val="000C1509"/>
    <w:rsid w:val="000C2A35"/>
    <w:rsid w:val="000D0872"/>
    <w:rsid w:val="000D220E"/>
    <w:rsid w:val="000F1C5C"/>
    <w:rsid w:val="000F4A35"/>
    <w:rsid w:val="000F5AAF"/>
    <w:rsid w:val="001065D4"/>
    <w:rsid w:val="0011179C"/>
    <w:rsid w:val="00115879"/>
    <w:rsid w:val="00120377"/>
    <w:rsid w:val="00120853"/>
    <w:rsid w:val="00122FF3"/>
    <w:rsid w:val="00130A90"/>
    <w:rsid w:val="001446DE"/>
    <w:rsid w:val="00146A3C"/>
    <w:rsid w:val="00152E7F"/>
    <w:rsid w:val="001657D5"/>
    <w:rsid w:val="0017109A"/>
    <w:rsid w:val="001736F3"/>
    <w:rsid w:val="00187BB0"/>
    <w:rsid w:val="001919EB"/>
    <w:rsid w:val="001A6619"/>
    <w:rsid w:val="001B46D4"/>
    <w:rsid w:val="001C20A1"/>
    <w:rsid w:val="001E3F9B"/>
    <w:rsid w:val="001E6A78"/>
    <w:rsid w:val="001F3D6A"/>
    <w:rsid w:val="001F4A83"/>
    <w:rsid w:val="001F521E"/>
    <w:rsid w:val="002051CF"/>
    <w:rsid w:val="002158E7"/>
    <w:rsid w:val="0021753F"/>
    <w:rsid w:val="002201DA"/>
    <w:rsid w:val="00223FB7"/>
    <w:rsid w:val="00240E62"/>
    <w:rsid w:val="002448CB"/>
    <w:rsid w:val="0024786C"/>
    <w:rsid w:val="00247C6C"/>
    <w:rsid w:val="0025034D"/>
    <w:rsid w:val="0025411F"/>
    <w:rsid w:val="002548B0"/>
    <w:rsid w:val="0025666B"/>
    <w:rsid w:val="002654EF"/>
    <w:rsid w:val="00271370"/>
    <w:rsid w:val="002826AD"/>
    <w:rsid w:val="00297055"/>
    <w:rsid w:val="002A6A2F"/>
    <w:rsid w:val="002B1044"/>
    <w:rsid w:val="002C5FF9"/>
    <w:rsid w:val="002D6FCE"/>
    <w:rsid w:val="002F0B1A"/>
    <w:rsid w:val="00302F42"/>
    <w:rsid w:val="00303EC2"/>
    <w:rsid w:val="00305E53"/>
    <w:rsid w:val="00310E64"/>
    <w:rsid w:val="003275EB"/>
    <w:rsid w:val="00332C60"/>
    <w:rsid w:val="003354A9"/>
    <w:rsid w:val="00347F0C"/>
    <w:rsid w:val="003500DA"/>
    <w:rsid w:val="0037560F"/>
    <w:rsid w:val="00392FC0"/>
    <w:rsid w:val="00393476"/>
    <w:rsid w:val="003A4077"/>
    <w:rsid w:val="003C5523"/>
    <w:rsid w:val="003E4A16"/>
    <w:rsid w:val="003F5FC7"/>
    <w:rsid w:val="00403B97"/>
    <w:rsid w:val="004119BA"/>
    <w:rsid w:val="004129E3"/>
    <w:rsid w:val="00417D68"/>
    <w:rsid w:val="0043264C"/>
    <w:rsid w:val="00440E8F"/>
    <w:rsid w:val="00444BED"/>
    <w:rsid w:val="00451660"/>
    <w:rsid w:val="0045395E"/>
    <w:rsid w:val="00453D29"/>
    <w:rsid w:val="00457DB3"/>
    <w:rsid w:val="004733CB"/>
    <w:rsid w:val="00482D55"/>
    <w:rsid w:val="004A05CA"/>
    <w:rsid w:val="004A0FEB"/>
    <w:rsid w:val="004A18B6"/>
    <w:rsid w:val="004A724B"/>
    <w:rsid w:val="004B2DD0"/>
    <w:rsid w:val="004B40B7"/>
    <w:rsid w:val="004C38B9"/>
    <w:rsid w:val="004E39B2"/>
    <w:rsid w:val="004E3B88"/>
    <w:rsid w:val="004E6F21"/>
    <w:rsid w:val="005036B0"/>
    <w:rsid w:val="00507042"/>
    <w:rsid w:val="00510CB1"/>
    <w:rsid w:val="00525212"/>
    <w:rsid w:val="00527AFF"/>
    <w:rsid w:val="0055034C"/>
    <w:rsid w:val="00552911"/>
    <w:rsid w:val="005633C5"/>
    <w:rsid w:val="005715A7"/>
    <w:rsid w:val="00571995"/>
    <w:rsid w:val="0059191F"/>
    <w:rsid w:val="00597E20"/>
    <w:rsid w:val="005A13D9"/>
    <w:rsid w:val="005B418C"/>
    <w:rsid w:val="005B479F"/>
    <w:rsid w:val="005B6052"/>
    <w:rsid w:val="005C17A1"/>
    <w:rsid w:val="005C46F1"/>
    <w:rsid w:val="005C5CBD"/>
    <w:rsid w:val="005D0381"/>
    <w:rsid w:val="005D742E"/>
    <w:rsid w:val="005F2DA7"/>
    <w:rsid w:val="00600311"/>
    <w:rsid w:val="006161A9"/>
    <w:rsid w:val="006216BF"/>
    <w:rsid w:val="00631437"/>
    <w:rsid w:val="00631CF4"/>
    <w:rsid w:val="00637998"/>
    <w:rsid w:val="006534A4"/>
    <w:rsid w:val="00655B64"/>
    <w:rsid w:val="00656DF6"/>
    <w:rsid w:val="00657AB4"/>
    <w:rsid w:val="00661915"/>
    <w:rsid w:val="00666075"/>
    <w:rsid w:val="006715F2"/>
    <w:rsid w:val="006815DC"/>
    <w:rsid w:val="0068370C"/>
    <w:rsid w:val="00686C47"/>
    <w:rsid w:val="006A2DB2"/>
    <w:rsid w:val="006B2A82"/>
    <w:rsid w:val="006C7716"/>
    <w:rsid w:val="006D02DE"/>
    <w:rsid w:val="006D3591"/>
    <w:rsid w:val="006D7B02"/>
    <w:rsid w:val="006E04E7"/>
    <w:rsid w:val="006E12E7"/>
    <w:rsid w:val="006E6E84"/>
    <w:rsid w:val="006F4636"/>
    <w:rsid w:val="006F4CAD"/>
    <w:rsid w:val="00700E07"/>
    <w:rsid w:val="00706BF6"/>
    <w:rsid w:val="0072380B"/>
    <w:rsid w:val="00731722"/>
    <w:rsid w:val="0073485D"/>
    <w:rsid w:val="007443A9"/>
    <w:rsid w:val="00747981"/>
    <w:rsid w:val="007624EC"/>
    <w:rsid w:val="00771FDC"/>
    <w:rsid w:val="00780A9A"/>
    <w:rsid w:val="00796648"/>
    <w:rsid w:val="007A0E78"/>
    <w:rsid w:val="007A1EA1"/>
    <w:rsid w:val="007A5A00"/>
    <w:rsid w:val="007B3A7E"/>
    <w:rsid w:val="007B497F"/>
    <w:rsid w:val="007C2092"/>
    <w:rsid w:val="007D046A"/>
    <w:rsid w:val="007D2DD9"/>
    <w:rsid w:val="007D6F99"/>
    <w:rsid w:val="007E4391"/>
    <w:rsid w:val="007E7706"/>
    <w:rsid w:val="007F795C"/>
    <w:rsid w:val="0081709D"/>
    <w:rsid w:val="00822790"/>
    <w:rsid w:val="00830294"/>
    <w:rsid w:val="00830F1B"/>
    <w:rsid w:val="00832695"/>
    <w:rsid w:val="00834522"/>
    <w:rsid w:val="0086707A"/>
    <w:rsid w:val="00871E69"/>
    <w:rsid w:val="00875C2F"/>
    <w:rsid w:val="00894325"/>
    <w:rsid w:val="008949A9"/>
    <w:rsid w:val="00896653"/>
    <w:rsid w:val="008A77A7"/>
    <w:rsid w:val="008B1763"/>
    <w:rsid w:val="008C08CE"/>
    <w:rsid w:val="008C6848"/>
    <w:rsid w:val="008C6B2A"/>
    <w:rsid w:val="008E0BDA"/>
    <w:rsid w:val="009064C5"/>
    <w:rsid w:val="00913266"/>
    <w:rsid w:val="00913602"/>
    <w:rsid w:val="00915A2B"/>
    <w:rsid w:val="00921D50"/>
    <w:rsid w:val="00921DC0"/>
    <w:rsid w:val="00922E67"/>
    <w:rsid w:val="0092567A"/>
    <w:rsid w:val="009343C1"/>
    <w:rsid w:val="00935D21"/>
    <w:rsid w:val="009408B7"/>
    <w:rsid w:val="00946789"/>
    <w:rsid w:val="00947E42"/>
    <w:rsid w:val="0095591A"/>
    <w:rsid w:val="00957C57"/>
    <w:rsid w:val="00961175"/>
    <w:rsid w:val="00971BC5"/>
    <w:rsid w:val="00976D60"/>
    <w:rsid w:val="00981671"/>
    <w:rsid w:val="00983DCB"/>
    <w:rsid w:val="00992686"/>
    <w:rsid w:val="009A3F98"/>
    <w:rsid w:val="009A5130"/>
    <w:rsid w:val="009B02F7"/>
    <w:rsid w:val="009B216B"/>
    <w:rsid w:val="009B5933"/>
    <w:rsid w:val="009C0EC0"/>
    <w:rsid w:val="009C50B3"/>
    <w:rsid w:val="009C7FF1"/>
    <w:rsid w:val="009D49D3"/>
    <w:rsid w:val="00A07DA6"/>
    <w:rsid w:val="00A1601B"/>
    <w:rsid w:val="00A211DF"/>
    <w:rsid w:val="00A26D91"/>
    <w:rsid w:val="00A32E0D"/>
    <w:rsid w:val="00A3410A"/>
    <w:rsid w:val="00A37093"/>
    <w:rsid w:val="00A62DA4"/>
    <w:rsid w:val="00A66C7E"/>
    <w:rsid w:val="00A66E22"/>
    <w:rsid w:val="00A670D1"/>
    <w:rsid w:val="00A73906"/>
    <w:rsid w:val="00A83A38"/>
    <w:rsid w:val="00A86587"/>
    <w:rsid w:val="00A90897"/>
    <w:rsid w:val="00A968AF"/>
    <w:rsid w:val="00AC7356"/>
    <w:rsid w:val="00AD191D"/>
    <w:rsid w:val="00AD5C72"/>
    <w:rsid w:val="00AE0E1B"/>
    <w:rsid w:val="00B11B78"/>
    <w:rsid w:val="00B16579"/>
    <w:rsid w:val="00B1798C"/>
    <w:rsid w:val="00B35D45"/>
    <w:rsid w:val="00B525B6"/>
    <w:rsid w:val="00B541F9"/>
    <w:rsid w:val="00B558FB"/>
    <w:rsid w:val="00B603FD"/>
    <w:rsid w:val="00B62DB4"/>
    <w:rsid w:val="00B73ED7"/>
    <w:rsid w:val="00B770E0"/>
    <w:rsid w:val="00B7779D"/>
    <w:rsid w:val="00B77F7D"/>
    <w:rsid w:val="00B90C9E"/>
    <w:rsid w:val="00BA315C"/>
    <w:rsid w:val="00BA3378"/>
    <w:rsid w:val="00BA44E9"/>
    <w:rsid w:val="00BB09BC"/>
    <w:rsid w:val="00BB2907"/>
    <w:rsid w:val="00BB2D01"/>
    <w:rsid w:val="00BC30B3"/>
    <w:rsid w:val="00BC4C02"/>
    <w:rsid w:val="00BD60BB"/>
    <w:rsid w:val="00BD7658"/>
    <w:rsid w:val="00BE114A"/>
    <w:rsid w:val="00BE36F0"/>
    <w:rsid w:val="00BE39DA"/>
    <w:rsid w:val="00BF52D3"/>
    <w:rsid w:val="00C13E1A"/>
    <w:rsid w:val="00C16977"/>
    <w:rsid w:val="00C30069"/>
    <w:rsid w:val="00C359E2"/>
    <w:rsid w:val="00C427D0"/>
    <w:rsid w:val="00C54538"/>
    <w:rsid w:val="00C54CB1"/>
    <w:rsid w:val="00C56C4F"/>
    <w:rsid w:val="00C6520C"/>
    <w:rsid w:val="00C719B9"/>
    <w:rsid w:val="00C741BC"/>
    <w:rsid w:val="00C8773F"/>
    <w:rsid w:val="00C9285C"/>
    <w:rsid w:val="00C97440"/>
    <w:rsid w:val="00CA1328"/>
    <w:rsid w:val="00CC188F"/>
    <w:rsid w:val="00CD6BC5"/>
    <w:rsid w:val="00CD6EF7"/>
    <w:rsid w:val="00CE4EC2"/>
    <w:rsid w:val="00CF4586"/>
    <w:rsid w:val="00D12892"/>
    <w:rsid w:val="00D16BA9"/>
    <w:rsid w:val="00D17244"/>
    <w:rsid w:val="00D21593"/>
    <w:rsid w:val="00D2407D"/>
    <w:rsid w:val="00D243FD"/>
    <w:rsid w:val="00D26D37"/>
    <w:rsid w:val="00D319EB"/>
    <w:rsid w:val="00D31A71"/>
    <w:rsid w:val="00D33854"/>
    <w:rsid w:val="00D40F70"/>
    <w:rsid w:val="00D54844"/>
    <w:rsid w:val="00D60569"/>
    <w:rsid w:val="00D61D8A"/>
    <w:rsid w:val="00D62915"/>
    <w:rsid w:val="00D65549"/>
    <w:rsid w:val="00D65D7E"/>
    <w:rsid w:val="00D722A8"/>
    <w:rsid w:val="00D85AA9"/>
    <w:rsid w:val="00D9136A"/>
    <w:rsid w:val="00D93685"/>
    <w:rsid w:val="00D9435B"/>
    <w:rsid w:val="00DA293A"/>
    <w:rsid w:val="00DA5FDA"/>
    <w:rsid w:val="00DB6FDE"/>
    <w:rsid w:val="00DC5E1F"/>
    <w:rsid w:val="00DC6BE3"/>
    <w:rsid w:val="00DD01F6"/>
    <w:rsid w:val="00DD45D6"/>
    <w:rsid w:val="00DD5638"/>
    <w:rsid w:val="00DE173E"/>
    <w:rsid w:val="00DE43F6"/>
    <w:rsid w:val="00DE6794"/>
    <w:rsid w:val="00DF63B0"/>
    <w:rsid w:val="00DF72FC"/>
    <w:rsid w:val="00E07B15"/>
    <w:rsid w:val="00E14FD8"/>
    <w:rsid w:val="00E27E29"/>
    <w:rsid w:val="00E341B4"/>
    <w:rsid w:val="00E4228E"/>
    <w:rsid w:val="00E61BD2"/>
    <w:rsid w:val="00E6438D"/>
    <w:rsid w:val="00E74293"/>
    <w:rsid w:val="00E8356B"/>
    <w:rsid w:val="00E8535E"/>
    <w:rsid w:val="00E87C9B"/>
    <w:rsid w:val="00E93559"/>
    <w:rsid w:val="00E95B92"/>
    <w:rsid w:val="00E96FC2"/>
    <w:rsid w:val="00EA22B7"/>
    <w:rsid w:val="00EB2963"/>
    <w:rsid w:val="00ED43CC"/>
    <w:rsid w:val="00ED5DE8"/>
    <w:rsid w:val="00EE18DC"/>
    <w:rsid w:val="00EF3867"/>
    <w:rsid w:val="00EF5158"/>
    <w:rsid w:val="00F152DA"/>
    <w:rsid w:val="00F212E2"/>
    <w:rsid w:val="00F35F04"/>
    <w:rsid w:val="00F4105F"/>
    <w:rsid w:val="00F413FB"/>
    <w:rsid w:val="00F42EE9"/>
    <w:rsid w:val="00F44502"/>
    <w:rsid w:val="00F44777"/>
    <w:rsid w:val="00F467AF"/>
    <w:rsid w:val="00F66733"/>
    <w:rsid w:val="00F81168"/>
    <w:rsid w:val="00F819FA"/>
    <w:rsid w:val="00F91711"/>
    <w:rsid w:val="00FA4763"/>
    <w:rsid w:val="00FB3A33"/>
    <w:rsid w:val="00FB414C"/>
    <w:rsid w:val="00FC2B85"/>
    <w:rsid w:val="00FC550F"/>
    <w:rsid w:val="00FC6D04"/>
    <w:rsid w:val="00FC7042"/>
    <w:rsid w:val="00FD6E56"/>
    <w:rsid w:val="00FE1ADA"/>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4E32"/>
  <w15:docId w15:val="{B40912F8-8502-4633-9741-B437FF1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4E3B88"/>
    <w:rPr>
      <w:sz w:val="16"/>
      <w:szCs w:val="16"/>
    </w:rPr>
  </w:style>
  <w:style w:type="paragraph" w:styleId="Textocomentario">
    <w:name w:val="annotation text"/>
    <w:basedOn w:val="Normal"/>
    <w:link w:val="TextocomentarioCar"/>
    <w:uiPriority w:val="99"/>
    <w:unhideWhenUsed/>
    <w:rsid w:val="004E3B88"/>
    <w:pPr>
      <w:spacing w:after="160"/>
    </w:pPr>
    <w:rPr>
      <w:rFonts w:ascii="Calibri" w:eastAsia="Calibri" w:hAnsi="Calibri"/>
      <w:sz w:val="20"/>
      <w:szCs w:val="20"/>
      <w:lang w:val="en-US"/>
    </w:rPr>
  </w:style>
  <w:style w:type="character" w:customStyle="1" w:styleId="TextocomentarioCar">
    <w:name w:val="Texto comentario Car"/>
    <w:basedOn w:val="Fuentedeprrafopredeter"/>
    <w:link w:val="Textocomentario"/>
    <w:uiPriority w:val="99"/>
    <w:rsid w:val="004E3B88"/>
    <w:rPr>
      <w:rFonts w:ascii="Calibri" w:eastAsia="Calibri" w:hAnsi="Calibri"/>
      <w:sz w:val="20"/>
      <w:szCs w:val="20"/>
      <w:lang w:val="en-US"/>
    </w:rPr>
  </w:style>
  <w:style w:type="paragraph" w:styleId="Textonotapie">
    <w:name w:val="footnote text"/>
    <w:basedOn w:val="Normal"/>
    <w:link w:val="TextonotapieCar"/>
    <w:uiPriority w:val="99"/>
    <w:semiHidden/>
    <w:unhideWhenUsed/>
    <w:rsid w:val="004E3B88"/>
    <w:rPr>
      <w:rFonts w:ascii="Calibri" w:eastAsia="Calibri" w:hAnsi="Calibri"/>
      <w:sz w:val="20"/>
      <w:szCs w:val="20"/>
      <w:lang w:val="en-US"/>
    </w:rPr>
  </w:style>
  <w:style w:type="character" w:customStyle="1" w:styleId="TextonotapieCar">
    <w:name w:val="Texto nota pie Car"/>
    <w:basedOn w:val="Fuentedeprrafopredeter"/>
    <w:link w:val="Textonotapie"/>
    <w:uiPriority w:val="99"/>
    <w:semiHidden/>
    <w:rsid w:val="004E3B88"/>
    <w:rPr>
      <w:rFonts w:ascii="Calibri" w:eastAsia="Calibri" w:hAnsi="Calibri"/>
      <w:sz w:val="20"/>
      <w:szCs w:val="20"/>
      <w:lang w:val="en-US"/>
    </w:rPr>
  </w:style>
  <w:style w:type="character" w:styleId="Refdenotaalpie">
    <w:name w:val="footnote reference"/>
    <w:basedOn w:val="Fuentedeprrafopredeter"/>
    <w:uiPriority w:val="99"/>
    <w:semiHidden/>
    <w:unhideWhenUsed/>
    <w:rsid w:val="004E3B88"/>
    <w:rPr>
      <w:vertAlign w:val="superscript"/>
    </w:rPr>
  </w:style>
  <w:style w:type="paragraph" w:styleId="Textodeglobo">
    <w:name w:val="Balloon Text"/>
    <w:basedOn w:val="Normal"/>
    <w:link w:val="TextodegloboCar"/>
    <w:uiPriority w:val="99"/>
    <w:semiHidden/>
    <w:unhideWhenUsed/>
    <w:rsid w:val="004E3B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B88"/>
    <w:rPr>
      <w:rFonts w:ascii="Segoe UI" w:hAnsi="Segoe UI" w:cs="Segoe UI"/>
      <w:sz w:val="18"/>
      <w:szCs w:val="18"/>
    </w:rPr>
  </w:style>
  <w:style w:type="paragraph" w:styleId="NormalWeb">
    <w:name w:val="Normal (Web)"/>
    <w:basedOn w:val="Normal"/>
    <w:uiPriority w:val="99"/>
    <w:unhideWhenUsed/>
    <w:rsid w:val="00961175"/>
    <w:pPr>
      <w:spacing w:before="100" w:beforeAutospacing="1" w:after="100" w:afterAutospacing="1"/>
    </w:pPr>
    <w:rPr>
      <w:lang w:val="en-US"/>
    </w:rPr>
  </w:style>
  <w:style w:type="table" w:styleId="Tablaconcuadrcula">
    <w:name w:val="Table Grid"/>
    <w:basedOn w:val="Tablanormal"/>
    <w:uiPriority w:val="39"/>
    <w:rsid w:val="00F3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21DC0"/>
    <w:pPr>
      <w:spacing w:after="0"/>
    </w:pPr>
    <w:rPr>
      <w:rFonts w:ascii="Times New Roman" w:eastAsia="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21DC0"/>
    <w:rPr>
      <w:rFonts w:ascii="Calibri" w:eastAsia="Calibri" w:hAnsi="Calibri"/>
      <w:b/>
      <w:bCs/>
      <w:sz w:val="20"/>
      <w:szCs w:val="20"/>
      <w:lang w:val="en-US"/>
    </w:rPr>
  </w:style>
  <w:style w:type="character" w:styleId="Hipervnculo">
    <w:name w:val="Hyperlink"/>
    <w:basedOn w:val="Fuentedeprrafopredeter"/>
    <w:uiPriority w:val="99"/>
    <w:unhideWhenUsed/>
    <w:rsid w:val="000925EC"/>
    <w:rPr>
      <w:color w:val="0000FF" w:themeColor="hyperlink"/>
      <w:u w:val="single"/>
    </w:rPr>
  </w:style>
  <w:style w:type="paragraph" w:styleId="Prrafodelista">
    <w:name w:val="List Paragraph"/>
    <w:basedOn w:val="Normal"/>
    <w:uiPriority w:val="34"/>
    <w:qFormat/>
    <w:rsid w:val="00122FF3"/>
    <w:pPr>
      <w:ind w:left="720"/>
      <w:contextualSpacing/>
    </w:pPr>
    <w:rPr>
      <w:rFonts w:asciiTheme="minorHAnsi" w:eastAsiaTheme="minorHAnsi" w:hAnsiTheme="minorHAnsi" w:cstheme="minorBidi"/>
      <w:kern w:val="2"/>
      <w14:ligatures w14:val="standardContextual"/>
    </w:rPr>
  </w:style>
  <w:style w:type="character" w:styleId="Textoennegrita">
    <w:name w:val="Strong"/>
    <w:basedOn w:val="Fuentedeprrafopredeter"/>
    <w:uiPriority w:val="22"/>
    <w:qFormat/>
    <w:rsid w:val="00122FF3"/>
    <w:rPr>
      <w:b/>
      <w:bCs/>
    </w:rPr>
  </w:style>
  <w:style w:type="paragraph" w:styleId="Encabezado">
    <w:name w:val="header"/>
    <w:basedOn w:val="Normal"/>
    <w:link w:val="EncabezadoCar"/>
    <w:uiPriority w:val="99"/>
    <w:unhideWhenUsed/>
    <w:rsid w:val="00C56C4F"/>
    <w:pPr>
      <w:tabs>
        <w:tab w:val="center" w:pos="4680"/>
        <w:tab w:val="right" w:pos="9360"/>
      </w:tabs>
    </w:pPr>
  </w:style>
  <w:style w:type="character" w:customStyle="1" w:styleId="EncabezadoCar">
    <w:name w:val="Encabezado Car"/>
    <w:basedOn w:val="Fuentedeprrafopredeter"/>
    <w:link w:val="Encabezado"/>
    <w:uiPriority w:val="99"/>
    <w:rsid w:val="00C56C4F"/>
  </w:style>
  <w:style w:type="paragraph" w:styleId="Piedepgina">
    <w:name w:val="footer"/>
    <w:basedOn w:val="Normal"/>
    <w:link w:val="PiedepginaCar"/>
    <w:uiPriority w:val="99"/>
    <w:unhideWhenUsed/>
    <w:rsid w:val="00C56C4F"/>
    <w:pPr>
      <w:tabs>
        <w:tab w:val="center" w:pos="4680"/>
        <w:tab w:val="right" w:pos="9360"/>
      </w:tabs>
    </w:pPr>
  </w:style>
  <w:style w:type="character" w:customStyle="1" w:styleId="PiedepginaCar">
    <w:name w:val="Pie de página Car"/>
    <w:basedOn w:val="Fuentedeprrafopredeter"/>
    <w:link w:val="Piedepgina"/>
    <w:uiPriority w:val="99"/>
    <w:rsid w:val="00C56C4F"/>
  </w:style>
  <w:style w:type="table" w:styleId="Tablaconcuadrcula1clara-nfasis4">
    <w:name w:val="Grid Table 1 Light Accent 4"/>
    <w:basedOn w:val="Tablanormal"/>
    <w:uiPriority w:val="46"/>
    <w:rsid w:val="00BD60BB"/>
    <w:rPr>
      <w:rFonts w:asciiTheme="minorHAnsi" w:eastAsiaTheme="minorEastAsia" w:hAnsiTheme="minorHAnsi" w:cstheme="minorBidi"/>
      <w:lang w:val="es-MX"/>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237">
      <w:bodyDiv w:val="1"/>
      <w:marLeft w:val="0"/>
      <w:marRight w:val="0"/>
      <w:marTop w:val="0"/>
      <w:marBottom w:val="0"/>
      <w:divBdr>
        <w:top w:val="none" w:sz="0" w:space="0" w:color="auto"/>
        <w:left w:val="none" w:sz="0" w:space="0" w:color="auto"/>
        <w:bottom w:val="none" w:sz="0" w:space="0" w:color="auto"/>
        <w:right w:val="none" w:sz="0" w:space="0" w:color="auto"/>
      </w:divBdr>
    </w:div>
    <w:div w:id="104471335">
      <w:bodyDiv w:val="1"/>
      <w:marLeft w:val="0"/>
      <w:marRight w:val="0"/>
      <w:marTop w:val="0"/>
      <w:marBottom w:val="0"/>
      <w:divBdr>
        <w:top w:val="none" w:sz="0" w:space="0" w:color="auto"/>
        <w:left w:val="none" w:sz="0" w:space="0" w:color="auto"/>
        <w:bottom w:val="none" w:sz="0" w:space="0" w:color="auto"/>
        <w:right w:val="none" w:sz="0" w:space="0" w:color="auto"/>
      </w:divBdr>
    </w:div>
    <w:div w:id="305862500">
      <w:bodyDiv w:val="1"/>
      <w:marLeft w:val="0"/>
      <w:marRight w:val="0"/>
      <w:marTop w:val="0"/>
      <w:marBottom w:val="0"/>
      <w:divBdr>
        <w:top w:val="none" w:sz="0" w:space="0" w:color="auto"/>
        <w:left w:val="none" w:sz="0" w:space="0" w:color="auto"/>
        <w:bottom w:val="none" w:sz="0" w:space="0" w:color="auto"/>
        <w:right w:val="none" w:sz="0" w:space="0" w:color="auto"/>
      </w:divBdr>
    </w:div>
    <w:div w:id="524908575">
      <w:bodyDiv w:val="1"/>
      <w:marLeft w:val="0"/>
      <w:marRight w:val="0"/>
      <w:marTop w:val="0"/>
      <w:marBottom w:val="0"/>
      <w:divBdr>
        <w:top w:val="none" w:sz="0" w:space="0" w:color="auto"/>
        <w:left w:val="none" w:sz="0" w:space="0" w:color="auto"/>
        <w:bottom w:val="none" w:sz="0" w:space="0" w:color="auto"/>
        <w:right w:val="none" w:sz="0" w:space="0" w:color="auto"/>
      </w:divBdr>
    </w:div>
    <w:div w:id="584992142">
      <w:bodyDiv w:val="1"/>
      <w:marLeft w:val="0"/>
      <w:marRight w:val="0"/>
      <w:marTop w:val="0"/>
      <w:marBottom w:val="0"/>
      <w:divBdr>
        <w:top w:val="none" w:sz="0" w:space="0" w:color="auto"/>
        <w:left w:val="none" w:sz="0" w:space="0" w:color="auto"/>
        <w:bottom w:val="none" w:sz="0" w:space="0" w:color="auto"/>
        <w:right w:val="none" w:sz="0" w:space="0" w:color="auto"/>
      </w:divBdr>
    </w:div>
    <w:div w:id="648629409">
      <w:bodyDiv w:val="1"/>
      <w:marLeft w:val="0"/>
      <w:marRight w:val="0"/>
      <w:marTop w:val="0"/>
      <w:marBottom w:val="0"/>
      <w:divBdr>
        <w:top w:val="none" w:sz="0" w:space="0" w:color="auto"/>
        <w:left w:val="none" w:sz="0" w:space="0" w:color="auto"/>
        <w:bottom w:val="none" w:sz="0" w:space="0" w:color="auto"/>
        <w:right w:val="none" w:sz="0" w:space="0" w:color="auto"/>
      </w:divBdr>
    </w:div>
    <w:div w:id="799760963">
      <w:bodyDiv w:val="1"/>
      <w:marLeft w:val="0"/>
      <w:marRight w:val="0"/>
      <w:marTop w:val="0"/>
      <w:marBottom w:val="0"/>
      <w:divBdr>
        <w:top w:val="none" w:sz="0" w:space="0" w:color="auto"/>
        <w:left w:val="none" w:sz="0" w:space="0" w:color="auto"/>
        <w:bottom w:val="none" w:sz="0" w:space="0" w:color="auto"/>
        <w:right w:val="none" w:sz="0" w:space="0" w:color="auto"/>
      </w:divBdr>
    </w:div>
    <w:div w:id="845901119">
      <w:bodyDiv w:val="1"/>
      <w:marLeft w:val="0"/>
      <w:marRight w:val="0"/>
      <w:marTop w:val="0"/>
      <w:marBottom w:val="0"/>
      <w:divBdr>
        <w:top w:val="none" w:sz="0" w:space="0" w:color="auto"/>
        <w:left w:val="none" w:sz="0" w:space="0" w:color="auto"/>
        <w:bottom w:val="none" w:sz="0" w:space="0" w:color="auto"/>
        <w:right w:val="none" w:sz="0" w:space="0" w:color="auto"/>
      </w:divBdr>
    </w:div>
    <w:div w:id="1012797966">
      <w:bodyDiv w:val="1"/>
      <w:marLeft w:val="0"/>
      <w:marRight w:val="0"/>
      <w:marTop w:val="0"/>
      <w:marBottom w:val="0"/>
      <w:divBdr>
        <w:top w:val="none" w:sz="0" w:space="0" w:color="auto"/>
        <w:left w:val="none" w:sz="0" w:space="0" w:color="auto"/>
        <w:bottom w:val="none" w:sz="0" w:space="0" w:color="auto"/>
        <w:right w:val="none" w:sz="0" w:space="0" w:color="auto"/>
      </w:divBdr>
    </w:div>
    <w:div w:id="1429539421">
      <w:bodyDiv w:val="1"/>
      <w:marLeft w:val="0"/>
      <w:marRight w:val="0"/>
      <w:marTop w:val="0"/>
      <w:marBottom w:val="0"/>
      <w:divBdr>
        <w:top w:val="none" w:sz="0" w:space="0" w:color="auto"/>
        <w:left w:val="none" w:sz="0" w:space="0" w:color="auto"/>
        <w:bottom w:val="none" w:sz="0" w:space="0" w:color="auto"/>
        <w:right w:val="none" w:sz="0" w:space="0" w:color="auto"/>
      </w:divBdr>
    </w:div>
    <w:div w:id="1730299704">
      <w:bodyDiv w:val="1"/>
      <w:marLeft w:val="0"/>
      <w:marRight w:val="0"/>
      <w:marTop w:val="0"/>
      <w:marBottom w:val="0"/>
      <w:divBdr>
        <w:top w:val="none" w:sz="0" w:space="0" w:color="auto"/>
        <w:left w:val="none" w:sz="0" w:space="0" w:color="auto"/>
        <w:bottom w:val="none" w:sz="0" w:space="0" w:color="auto"/>
        <w:right w:val="none" w:sz="0" w:space="0" w:color="auto"/>
      </w:divBdr>
    </w:div>
    <w:div w:id="205993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mailto:jlopezf@bancobas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mailto:gsiller@bancobase.com"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mailto:pdigiusto@bancobase.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ancoba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pdigiusto\Documents\BANCO%20BASE\Reportes%202023%20PAU\INPC\INPC%20PRONOSTICO%20-%20todos%20los%20elementos\Expectativa%20inflaci&#243;n%20-%20Gr&#225;ficas%20para%20reportes\Expectativa%20inflaci&#243;n%202024-12-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pdigiusto\Documents\BANCO%20BASE\Reportes%202023%20PAU\INPC\INPC%20quincenal\INPC%20quincenal%20pau%20-%20Nueva%20serie%20(vers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ysClr val="windowText" lastClr="000000"/>
                </a:solidFill>
                <a:latin typeface="+mj-lt"/>
                <a:ea typeface="+mn-ea"/>
                <a:cs typeface="Leelawadee UI" panose="020B0502040204020203" pitchFamily="34" charset="-34"/>
              </a:defRPr>
            </a:pPr>
            <a:r>
              <a:rPr lang="en-US" sz="900" b="1">
                <a:latin typeface="+mj-lt"/>
                <a:cs typeface="Leelawadee UI" panose="020B0502040204020203" pitchFamily="34" charset="-34"/>
              </a:rPr>
              <a:t>Figura 1. </a:t>
            </a:r>
            <a:r>
              <a:rPr lang="en-US" sz="900" b="0">
                <a:latin typeface="+mj-lt"/>
                <a:cs typeface="Leelawadee UI" panose="020B0502040204020203" pitchFamily="34" charset="-34"/>
              </a:rPr>
              <a:t>Expectativa para 2024 y 2025. Tasa anual</a:t>
            </a:r>
          </a:p>
        </c:rich>
      </c:tx>
      <c:layout>
        <c:manualLayout>
          <c:xMode val="edge"/>
          <c:yMode val="edge"/>
          <c:x val="0.32733581490254704"/>
          <c:y val="2.7319431292787901E-3"/>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j-lt"/>
              <a:ea typeface="+mn-ea"/>
              <a:cs typeface="Leelawadee UI" panose="020B0502040204020203" pitchFamily="34" charset="-34"/>
            </a:defRPr>
          </a:pPr>
          <a:endParaRPr lang="en-US"/>
        </a:p>
      </c:txPr>
    </c:title>
    <c:autoTitleDeleted val="0"/>
    <c:plotArea>
      <c:layout>
        <c:manualLayout>
          <c:layoutTarget val="inner"/>
          <c:xMode val="edge"/>
          <c:yMode val="edge"/>
          <c:x val="4.3617030231708528E-2"/>
          <c:y val="5.5885832559668634E-2"/>
          <c:w val="0.94473474651460743"/>
          <c:h val="0.67547163520579689"/>
        </c:manualLayout>
      </c:layout>
      <c:barChart>
        <c:barDir val="col"/>
        <c:grouping val="clustered"/>
        <c:varyColors val="0"/>
        <c:ser>
          <c:idx val="0"/>
          <c:order val="0"/>
          <c:spPr>
            <a:solidFill>
              <a:srgbClr val="002060"/>
            </a:solidFill>
            <a:ln>
              <a:noFill/>
            </a:ln>
            <a:effectLst/>
          </c:spPr>
          <c:invertIfNegative val="0"/>
          <c:dPt>
            <c:idx val="11"/>
            <c:invertIfNegative val="0"/>
            <c:bubble3D val="0"/>
            <c:spPr>
              <a:solidFill>
                <a:srgbClr val="002060"/>
              </a:solidFill>
              <a:ln>
                <a:noFill/>
              </a:ln>
              <a:effectLst/>
            </c:spPr>
            <c:extLst>
              <c:ext xmlns:c16="http://schemas.microsoft.com/office/drawing/2014/chart" uri="{C3380CC4-5D6E-409C-BE32-E72D297353CC}">
                <c16:uniqueId val="{00000001-E055-4048-858C-3826CCC0E816}"/>
              </c:ext>
            </c:extLst>
          </c:dPt>
          <c:dPt>
            <c:idx val="23"/>
            <c:invertIfNegative val="0"/>
            <c:bubble3D val="0"/>
            <c:spPr>
              <a:solidFill>
                <a:srgbClr val="FFC000"/>
              </a:solidFill>
              <a:ln>
                <a:noFill/>
              </a:ln>
              <a:effectLst/>
            </c:spPr>
            <c:extLst>
              <c:ext xmlns:c16="http://schemas.microsoft.com/office/drawing/2014/chart" uri="{C3380CC4-5D6E-409C-BE32-E72D297353CC}">
                <c16:uniqueId val="{00000029-E055-4048-858C-3826CCC0E816}"/>
              </c:ext>
            </c:extLst>
          </c:dPt>
          <c:dPt>
            <c:idx val="29"/>
            <c:invertIfNegative val="0"/>
            <c:bubble3D val="0"/>
            <c:spPr>
              <a:solidFill>
                <a:srgbClr val="002060"/>
              </a:solidFill>
              <a:ln>
                <a:noFill/>
              </a:ln>
              <a:effectLst/>
            </c:spPr>
            <c:extLst>
              <c:ext xmlns:c16="http://schemas.microsoft.com/office/drawing/2014/chart" uri="{C3380CC4-5D6E-409C-BE32-E72D297353CC}">
                <c16:uniqueId val="{00000003-E055-4048-858C-3826CCC0E816}"/>
              </c:ext>
            </c:extLst>
          </c:dPt>
          <c:dPt>
            <c:idx val="30"/>
            <c:invertIfNegative val="0"/>
            <c:bubble3D val="0"/>
            <c:spPr>
              <a:solidFill>
                <a:srgbClr val="002060"/>
              </a:solidFill>
              <a:ln>
                <a:noFill/>
              </a:ln>
              <a:effectLst/>
            </c:spPr>
            <c:extLst>
              <c:ext xmlns:c16="http://schemas.microsoft.com/office/drawing/2014/chart" uri="{C3380CC4-5D6E-409C-BE32-E72D297353CC}">
                <c16:uniqueId val="{00000005-E055-4048-858C-3826CCC0E816}"/>
              </c:ext>
            </c:extLst>
          </c:dPt>
          <c:dPt>
            <c:idx val="31"/>
            <c:invertIfNegative val="0"/>
            <c:bubble3D val="0"/>
            <c:spPr>
              <a:solidFill>
                <a:srgbClr val="002060"/>
              </a:solidFill>
              <a:ln>
                <a:noFill/>
              </a:ln>
              <a:effectLst/>
            </c:spPr>
            <c:extLst>
              <c:ext xmlns:c16="http://schemas.microsoft.com/office/drawing/2014/chart" uri="{C3380CC4-5D6E-409C-BE32-E72D297353CC}">
                <c16:uniqueId val="{00000007-E055-4048-858C-3826CCC0E816}"/>
              </c:ext>
            </c:extLst>
          </c:dPt>
          <c:dPt>
            <c:idx val="32"/>
            <c:invertIfNegative val="0"/>
            <c:bubble3D val="0"/>
            <c:spPr>
              <a:solidFill>
                <a:srgbClr val="002060"/>
              </a:solidFill>
              <a:ln>
                <a:noFill/>
              </a:ln>
              <a:effectLst/>
            </c:spPr>
            <c:extLst>
              <c:ext xmlns:c16="http://schemas.microsoft.com/office/drawing/2014/chart" uri="{C3380CC4-5D6E-409C-BE32-E72D297353CC}">
                <c16:uniqueId val="{00000009-E055-4048-858C-3826CCC0E816}"/>
              </c:ext>
            </c:extLst>
          </c:dPt>
          <c:dPt>
            <c:idx val="33"/>
            <c:invertIfNegative val="0"/>
            <c:bubble3D val="0"/>
            <c:spPr>
              <a:solidFill>
                <a:srgbClr val="002060"/>
              </a:solidFill>
              <a:ln>
                <a:noFill/>
              </a:ln>
              <a:effectLst/>
            </c:spPr>
            <c:extLst>
              <c:ext xmlns:c16="http://schemas.microsoft.com/office/drawing/2014/chart" uri="{C3380CC4-5D6E-409C-BE32-E72D297353CC}">
                <c16:uniqueId val="{0000000B-E055-4048-858C-3826CCC0E816}"/>
              </c:ext>
            </c:extLst>
          </c:dPt>
          <c:dPt>
            <c:idx val="34"/>
            <c:invertIfNegative val="0"/>
            <c:bubble3D val="0"/>
            <c:spPr>
              <a:solidFill>
                <a:srgbClr val="002060"/>
              </a:solidFill>
              <a:ln>
                <a:noFill/>
              </a:ln>
              <a:effectLst/>
            </c:spPr>
            <c:extLst>
              <c:ext xmlns:c16="http://schemas.microsoft.com/office/drawing/2014/chart" uri="{C3380CC4-5D6E-409C-BE32-E72D297353CC}">
                <c16:uniqueId val="{0000000D-E055-4048-858C-3826CCC0E816}"/>
              </c:ext>
            </c:extLst>
          </c:dPt>
          <c:dPt>
            <c:idx val="35"/>
            <c:invertIfNegative val="0"/>
            <c:bubble3D val="0"/>
            <c:spPr>
              <a:solidFill>
                <a:srgbClr val="FFC000"/>
              </a:solidFill>
              <a:ln>
                <a:noFill/>
              </a:ln>
              <a:effectLst/>
            </c:spPr>
            <c:extLst>
              <c:ext xmlns:c16="http://schemas.microsoft.com/office/drawing/2014/chart" uri="{C3380CC4-5D6E-409C-BE32-E72D297353CC}">
                <c16:uniqueId val="{0000000F-E055-4048-858C-3826CCC0E816}"/>
              </c:ext>
            </c:extLst>
          </c:dPt>
          <c:dPt>
            <c:idx val="36"/>
            <c:invertIfNegative val="0"/>
            <c:bubble3D val="0"/>
            <c:spPr>
              <a:solidFill>
                <a:srgbClr val="002060"/>
              </a:solidFill>
              <a:ln>
                <a:noFill/>
              </a:ln>
              <a:effectLst/>
            </c:spPr>
            <c:extLst>
              <c:ext xmlns:c16="http://schemas.microsoft.com/office/drawing/2014/chart" uri="{C3380CC4-5D6E-409C-BE32-E72D297353CC}">
                <c16:uniqueId val="{00000011-E055-4048-858C-3826CCC0E816}"/>
              </c:ext>
            </c:extLst>
          </c:dPt>
          <c:dPt>
            <c:idx val="37"/>
            <c:invertIfNegative val="0"/>
            <c:bubble3D val="0"/>
            <c:spPr>
              <a:solidFill>
                <a:srgbClr val="002060"/>
              </a:solidFill>
              <a:ln>
                <a:noFill/>
              </a:ln>
              <a:effectLst/>
            </c:spPr>
            <c:extLst>
              <c:ext xmlns:c16="http://schemas.microsoft.com/office/drawing/2014/chart" uri="{C3380CC4-5D6E-409C-BE32-E72D297353CC}">
                <c16:uniqueId val="{00000013-E055-4048-858C-3826CCC0E816}"/>
              </c:ext>
            </c:extLst>
          </c:dPt>
          <c:dPt>
            <c:idx val="38"/>
            <c:invertIfNegative val="0"/>
            <c:bubble3D val="0"/>
            <c:spPr>
              <a:solidFill>
                <a:srgbClr val="002060"/>
              </a:solidFill>
              <a:ln>
                <a:noFill/>
              </a:ln>
              <a:effectLst/>
            </c:spPr>
            <c:extLst>
              <c:ext xmlns:c16="http://schemas.microsoft.com/office/drawing/2014/chart" uri="{C3380CC4-5D6E-409C-BE32-E72D297353CC}">
                <c16:uniqueId val="{00000015-E055-4048-858C-3826CCC0E816}"/>
              </c:ext>
            </c:extLst>
          </c:dPt>
          <c:dPt>
            <c:idx val="39"/>
            <c:invertIfNegative val="0"/>
            <c:bubble3D val="0"/>
            <c:spPr>
              <a:solidFill>
                <a:srgbClr val="002060"/>
              </a:solidFill>
              <a:ln>
                <a:noFill/>
              </a:ln>
              <a:effectLst/>
            </c:spPr>
            <c:extLst>
              <c:ext xmlns:c16="http://schemas.microsoft.com/office/drawing/2014/chart" uri="{C3380CC4-5D6E-409C-BE32-E72D297353CC}">
                <c16:uniqueId val="{00000017-E055-4048-858C-3826CCC0E816}"/>
              </c:ext>
            </c:extLst>
          </c:dPt>
          <c:dPt>
            <c:idx val="40"/>
            <c:invertIfNegative val="0"/>
            <c:bubble3D val="0"/>
            <c:spPr>
              <a:solidFill>
                <a:srgbClr val="002060"/>
              </a:solidFill>
              <a:ln>
                <a:noFill/>
              </a:ln>
              <a:effectLst/>
            </c:spPr>
            <c:extLst>
              <c:ext xmlns:c16="http://schemas.microsoft.com/office/drawing/2014/chart" uri="{C3380CC4-5D6E-409C-BE32-E72D297353CC}">
                <c16:uniqueId val="{00000019-E055-4048-858C-3826CCC0E816}"/>
              </c:ext>
            </c:extLst>
          </c:dPt>
          <c:dPt>
            <c:idx val="41"/>
            <c:invertIfNegative val="0"/>
            <c:bubble3D val="0"/>
            <c:spPr>
              <a:solidFill>
                <a:srgbClr val="002060"/>
              </a:solidFill>
              <a:ln>
                <a:noFill/>
              </a:ln>
              <a:effectLst/>
            </c:spPr>
            <c:extLst>
              <c:ext xmlns:c16="http://schemas.microsoft.com/office/drawing/2014/chart" uri="{C3380CC4-5D6E-409C-BE32-E72D297353CC}">
                <c16:uniqueId val="{0000001B-E055-4048-858C-3826CCC0E816}"/>
              </c:ext>
            </c:extLst>
          </c:dPt>
          <c:dPt>
            <c:idx val="42"/>
            <c:invertIfNegative val="0"/>
            <c:bubble3D val="0"/>
            <c:spPr>
              <a:solidFill>
                <a:srgbClr val="002060"/>
              </a:solidFill>
              <a:ln>
                <a:noFill/>
              </a:ln>
              <a:effectLst/>
            </c:spPr>
            <c:extLst>
              <c:ext xmlns:c16="http://schemas.microsoft.com/office/drawing/2014/chart" uri="{C3380CC4-5D6E-409C-BE32-E72D297353CC}">
                <c16:uniqueId val="{0000001D-E055-4048-858C-3826CCC0E816}"/>
              </c:ext>
            </c:extLst>
          </c:dPt>
          <c:dPt>
            <c:idx val="43"/>
            <c:invertIfNegative val="0"/>
            <c:bubble3D val="0"/>
            <c:spPr>
              <a:solidFill>
                <a:srgbClr val="002060"/>
              </a:solidFill>
              <a:ln>
                <a:noFill/>
              </a:ln>
              <a:effectLst/>
            </c:spPr>
            <c:extLst>
              <c:ext xmlns:c16="http://schemas.microsoft.com/office/drawing/2014/chart" uri="{C3380CC4-5D6E-409C-BE32-E72D297353CC}">
                <c16:uniqueId val="{0000001F-E055-4048-858C-3826CCC0E816}"/>
              </c:ext>
            </c:extLst>
          </c:dPt>
          <c:dPt>
            <c:idx val="44"/>
            <c:invertIfNegative val="0"/>
            <c:bubble3D val="0"/>
            <c:spPr>
              <a:solidFill>
                <a:srgbClr val="002060"/>
              </a:solidFill>
              <a:ln>
                <a:noFill/>
              </a:ln>
              <a:effectLst/>
            </c:spPr>
            <c:extLst>
              <c:ext xmlns:c16="http://schemas.microsoft.com/office/drawing/2014/chart" uri="{C3380CC4-5D6E-409C-BE32-E72D297353CC}">
                <c16:uniqueId val="{00000021-E055-4048-858C-3826CCC0E816}"/>
              </c:ext>
            </c:extLst>
          </c:dPt>
          <c:dPt>
            <c:idx val="45"/>
            <c:invertIfNegative val="0"/>
            <c:bubble3D val="0"/>
            <c:spPr>
              <a:solidFill>
                <a:srgbClr val="002060"/>
              </a:solidFill>
              <a:ln>
                <a:noFill/>
              </a:ln>
              <a:effectLst/>
            </c:spPr>
            <c:extLst>
              <c:ext xmlns:c16="http://schemas.microsoft.com/office/drawing/2014/chart" uri="{C3380CC4-5D6E-409C-BE32-E72D297353CC}">
                <c16:uniqueId val="{00000023-E055-4048-858C-3826CCC0E816}"/>
              </c:ext>
            </c:extLst>
          </c:dPt>
          <c:dPt>
            <c:idx val="46"/>
            <c:invertIfNegative val="0"/>
            <c:bubble3D val="0"/>
            <c:spPr>
              <a:solidFill>
                <a:srgbClr val="002060"/>
              </a:solidFill>
              <a:ln>
                <a:noFill/>
              </a:ln>
              <a:effectLst/>
            </c:spPr>
            <c:extLst>
              <c:ext xmlns:c16="http://schemas.microsoft.com/office/drawing/2014/chart" uri="{C3380CC4-5D6E-409C-BE32-E72D297353CC}">
                <c16:uniqueId val="{00000025-E055-4048-858C-3826CCC0E816}"/>
              </c:ext>
            </c:extLst>
          </c:dPt>
          <c:dPt>
            <c:idx val="47"/>
            <c:invertIfNegative val="0"/>
            <c:bubble3D val="0"/>
            <c:spPr>
              <a:solidFill>
                <a:srgbClr val="FFC000"/>
              </a:solidFill>
              <a:ln>
                <a:noFill/>
              </a:ln>
              <a:effectLst/>
            </c:spPr>
            <c:extLst>
              <c:ext xmlns:c16="http://schemas.microsoft.com/office/drawing/2014/chart" uri="{C3380CC4-5D6E-409C-BE32-E72D297353CC}">
                <c16:uniqueId val="{00000027-E055-4048-858C-3826CCC0E816}"/>
              </c:ext>
            </c:extLst>
          </c:dPt>
          <c:dLbls>
            <c:dLbl>
              <c:idx val="35"/>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055-4048-858C-3826CCC0E816}"/>
                </c:ext>
              </c:extLst>
            </c:dLbl>
            <c:dLbl>
              <c:idx val="47"/>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E055-4048-858C-3826CCC0E816}"/>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'24-12-23'!$K$35:$K$82</c:f>
              <c:numCache>
                <c:formatCode>mmm\-yy</c:formatCode>
                <c:ptCount val="48"/>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pt idx="36">
                  <c:v>45658</c:v>
                </c:pt>
                <c:pt idx="37">
                  <c:v>45689</c:v>
                </c:pt>
                <c:pt idx="38">
                  <c:v>45717</c:v>
                </c:pt>
                <c:pt idx="39">
                  <c:v>45748</c:v>
                </c:pt>
                <c:pt idx="40">
                  <c:v>45778</c:v>
                </c:pt>
                <c:pt idx="41">
                  <c:v>45809</c:v>
                </c:pt>
                <c:pt idx="42">
                  <c:v>45839</c:v>
                </c:pt>
                <c:pt idx="43">
                  <c:v>45870</c:v>
                </c:pt>
                <c:pt idx="44">
                  <c:v>45901</c:v>
                </c:pt>
                <c:pt idx="45">
                  <c:v>45931</c:v>
                </c:pt>
                <c:pt idx="46">
                  <c:v>45962</c:v>
                </c:pt>
                <c:pt idx="47">
                  <c:v>45992</c:v>
                </c:pt>
              </c:numCache>
            </c:numRef>
          </c:cat>
          <c:val>
            <c:numRef>
              <c:f>'24-12-23'!$L$35:$L$82</c:f>
              <c:numCache>
                <c:formatCode>0.00%</c:formatCode>
                <c:ptCount val="48"/>
                <c:pt idx="0">
                  <c:v>7.0701388258778808E-2</c:v>
                </c:pt>
                <c:pt idx="1">
                  <c:v>7.2799733109722542E-2</c:v>
                </c:pt>
                <c:pt idx="2">
                  <c:v>7.453677207039644E-2</c:v>
                </c:pt>
                <c:pt idx="3">
                  <c:v>7.6825028968713793E-2</c:v>
                </c:pt>
                <c:pt idx="4">
                  <c:v>7.6526209982298532E-2</c:v>
                </c:pt>
                <c:pt idx="5">
                  <c:v>7.9863384593604536E-2</c:v>
                </c:pt>
                <c:pt idx="6">
                  <c:v>8.1508066360549414E-2</c:v>
                </c:pt>
                <c:pt idx="7">
                  <c:v>8.6954231380433455E-2</c:v>
                </c:pt>
                <c:pt idx="8">
                  <c:v>8.6997495658851065E-2</c:v>
                </c:pt>
                <c:pt idx="9">
                  <c:v>8.4068154481182988E-2</c:v>
                </c:pt>
                <c:pt idx="10">
                  <c:v>7.7966188699907679E-2</c:v>
                </c:pt>
                <c:pt idx="11">
                  <c:v>7.8170286766460872E-2</c:v>
                </c:pt>
                <c:pt idx="12">
                  <c:v>7.9100354231284253E-2</c:v>
                </c:pt>
                <c:pt idx="13">
                  <c:v>7.6188635160235663E-2</c:v>
                </c:pt>
                <c:pt idx="14">
                  <c:v>6.8492580663953584E-2</c:v>
                </c:pt>
                <c:pt idx="15">
                  <c:v>6.2528454005910117E-2</c:v>
                </c:pt>
                <c:pt idx="16">
                  <c:v>5.8353026722414159E-2</c:v>
                </c:pt>
                <c:pt idx="17">
                  <c:v>5.0553617525261108E-2</c:v>
                </c:pt>
                <c:pt idx="18">
                  <c:v>4.7857516310613635E-2</c:v>
                </c:pt>
                <c:pt idx="19">
                  <c:v>4.6388963890752311E-2</c:v>
                </c:pt>
                <c:pt idx="20">
                  <c:v>4.4540783206893031E-2</c:v>
                </c:pt>
                <c:pt idx="21">
                  <c:v>4.2565913732965255E-2</c:v>
                </c:pt>
                <c:pt idx="22">
                  <c:v>4.3235010003417895E-2</c:v>
                </c:pt>
                <c:pt idx="23">
                  <c:v>4.6607938674658733E-2</c:v>
                </c:pt>
                <c:pt idx="24">
                  <c:v>4.8839504949894308E-2</c:v>
                </c:pt>
                <c:pt idx="25">
                  <c:v>4.4003973241536376E-2</c:v>
                </c:pt>
                <c:pt idx="26">
                  <c:v>4.4213492037778697E-2</c:v>
                </c:pt>
                <c:pt idx="27">
                  <c:v>4.6531700834892664E-2</c:v>
                </c:pt>
                <c:pt idx="28">
                  <c:v>4.6863731100038608E-2</c:v>
                </c:pt>
                <c:pt idx="29">
                  <c:v>4.9758973950306484E-2</c:v>
                </c:pt>
                <c:pt idx="30">
                  <c:v>5.57E-2</c:v>
                </c:pt>
                <c:pt idx="31">
                  <c:v>4.9930536267290937E-2</c:v>
                </c:pt>
                <c:pt idx="32">
                  <c:v>4.5812250411127242E-2</c:v>
                </c:pt>
                <c:pt idx="33">
                  <c:v>4.7614953618931977E-2</c:v>
                </c:pt>
                <c:pt idx="34">
                  <c:v>4.5490455979827815E-2</c:v>
                </c:pt>
                <c:pt idx="35">
                  <c:v>4.3217068273164072E-2</c:v>
                </c:pt>
                <c:pt idx="36">
                  <c:v>4.1232211663589702E-2</c:v>
                </c:pt>
                <c:pt idx="37">
                  <c:v>4.3967298289212087E-2</c:v>
                </c:pt>
                <c:pt idx="38">
                  <c:v>4.4714411932709863E-2</c:v>
                </c:pt>
                <c:pt idx="39">
                  <c:v>4.4004497360576877E-2</c:v>
                </c:pt>
                <c:pt idx="40">
                  <c:v>4.4589123882026516E-2</c:v>
                </c:pt>
                <c:pt idx="41">
                  <c:v>4.3090693543535452E-2</c:v>
                </c:pt>
                <c:pt idx="42">
                  <c:v>3.7573279754994471E-2</c:v>
                </c:pt>
                <c:pt idx="43">
                  <c:v>4.1641836681900579E-2</c:v>
                </c:pt>
                <c:pt idx="44">
                  <c:v>4.4446887102431831E-2</c:v>
                </c:pt>
                <c:pt idx="45">
                  <c:v>4.2030223162149549E-2</c:v>
                </c:pt>
                <c:pt idx="46">
                  <c:v>4.2342652304309336E-2</c:v>
                </c:pt>
                <c:pt idx="47">
                  <c:v>4.1528334440849135E-2</c:v>
                </c:pt>
              </c:numCache>
            </c:numRef>
          </c:val>
          <c:extLst>
            <c:ext xmlns:c16="http://schemas.microsoft.com/office/drawing/2014/chart" uri="{C3380CC4-5D6E-409C-BE32-E72D297353CC}">
              <c16:uniqueId val="{00000028-E055-4048-858C-3826CCC0E816}"/>
            </c:ext>
          </c:extLst>
        </c:ser>
        <c:dLbls>
          <c:showLegendKey val="0"/>
          <c:showVal val="0"/>
          <c:showCatName val="0"/>
          <c:showSerName val="0"/>
          <c:showPercent val="0"/>
          <c:showBubbleSize val="0"/>
        </c:dLbls>
        <c:gapWidth val="219"/>
        <c:axId val="1020442672"/>
        <c:axId val="1020438080"/>
      </c:barChart>
      <c:dateAx>
        <c:axId val="1020442672"/>
        <c:scaling>
          <c:orientation val="minMax"/>
          <c:min val="44927"/>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mj-lt"/>
                <a:ea typeface="+mn-ea"/>
                <a:cs typeface="Leelawadee UI" panose="020B0502040204020203" pitchFamily="34" charset="-34"/>
              </a:defRPr>
            </a:pPr>
            <a:endParaRPr lang="en-US"/>
          </a:p>
        </c:txPr>
        <c:crossAx val="1020438080"/>
        <c:crosses val="autoZero"/>
        <c:auto val="1"/>
        <c:lblOffset val="100"/>
        <c:baseTimeUnit val="months"/>
        <c:majorUnit val="1"/>
        <c:majorTimeUnit val="months"/>
      </c:dateAx>
      <c:valAx>
        <c:axId val="1020438080"/>
        <c:scaling>
          <c:orientation val="minMax"/>
          <c:max val="8.0000000000000016E-2"/>
          <c:min val="3.0000000000000006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j-lt"/>
                <a:ea typeface="+mn-ea"/>
                <a:cs typeface="Leelawadee UI" panose="020B0502040204020203" pitchFamily="34" charset="-34"/>
              </a:defRPr>
            </a:pPr>
            <a:endParaRPr lang="en-US"/>
          </a:p>
        </c:txPr>
        <c:crossAx val="1020442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r>
              <a:rPr lang="en-US" sz="800" b="1"/>
              <a:t>Figura 3. </a:t>
            </a:r>
            <a:r>
              <a:rPr lang="en-US" sz="800"/>
              <a:t>Inflación quincenal del componente subyacente, primera quincena de diciembre en cada año</a:t>
            </a:r>
          </a:p>
        </c:rich>
      </c:tx>
      <c:layout>
        <c:manualLayout>
          <c:xMode val="edge"/>
          <c:yMode val="edge"/>
          <c:x val="0.1409233479767713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title>
    <c:autoTitleDeleted val="0"/>
    <c:plotArea>
      <c:layout>
        <c:manualLayout>
          <c:layoutTarget val="inner"/>
          <c:xMode val="edge"/>
          <c:yMode val="edge"/>
          <c:x val="6.8501886212554597E-2"/>
          <c:y val="0.22680092592592596"/>
          <c:w val="0.83034367646888363"/>
          <c:h val="0.56349675925925924"/>
        </c:manualLayout>
      </c:layout>
      <c:barChart>
        <c:barDir val="col"/>
        <c:grouping val="clustered"/>
        <c:varyColors val="0"/>
        <c:ser>
          <c:idx val="0"/>
          <c:order val="0"/>
          <c:tx>
            <c:strRef>
              <c:f>'Dinámica quincenal'!$E$48</c:f>
              <c:strCache>
                <c:ptCount val="1"/>
                <c:pt idx="0">
                  <c:v>Subyacente</c:v>
                </c:pt>
              </c:strCache>
            </c:strRef>
          </c:tx>
          <c:spPr>
            <a:solidFill>
              <a:srgbClr val="002060"/>
            </a:solidFill>
            <a:ln>
              <a:noFill/>
            </a:ln>
            <a:effectLst/>
          </c:spPr>
          <c:invertIfNegative val="0"/>
          <c:dPt>
            <c:idx val="36"/>
            <c:invertIfNegative val="0"/>
            <c:bubble3D val="0"/>
            <c:spPr>
              <a:solidFill>
                <a:srgbClr val="FFC000"/>
              </a:solidFill>
              <a:ln>
                <a:noFill/>
              </a:ln>
              <a:effectLst/>
            </c:spPr>
            <c:extLst>
              <c:ext xmlns:c16="http://schemas.microsoft.com/office/drawing/2014/chart" uri="{C3380CC4-5D6E-409C-BE32-E72D297353CC}">
                <c16:uniqueId val="{00000000-CDF2-46C6-A2A5-FF1DE2A7EBE9}"/>
              </c:ext>
            </c:extLst>
          </c:dPt>
          <c:dLbls>
            <c:dLbl>
              <c:idx val="36"/>
              <c:layout>
                <c:manualLayout>
                  <c:x val="-2.0229890847808648E-16"/>
                  <c:y val="-1.4029986610752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F2-46C6-A2A5-FF1DE2A7EBE9}"/>
                </c:ext>
              </c:extLst>
            </c:dLbl>
            <c:spPr>
              <a:noFill/>
              <a:ln>
                <a:noFill/>
              </a:ln>
              <a:effectLst/>
            </c:spPr>
            <c:txPr>
              <a:bodyPr rot="-5400000" spcFirstLastPara="1" vertOverflow="ellipsis" wrap="square" lIns="38100" tIns="19050" rIns="38100" bIns="19050" anchor="ctr" anchorCtr="1">
                <a:spAutoFit/>
              </a:bodyPr>
              <a:lstStyle/>
              <a:p>
                <a:pPr>
                  <a:defRPr sz="700" b="1"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'Dinámica quincenal'!$D$49:$D$85</c:f>
              <c:numCache>
                <c:formatCode>yyyy</c:formatCode>
                <c:ptCount val="37"/>
                <c:pt idx="0">
                  <c:v>32143</c:v>
                </c:pt>
                <c:pt idx="1">
                  <c:v>32509</c:v>
                </c:pt>
                <c:pt idx="2">
                  <c:v>32874</c:v>
                </c:pt>
                <c:pt idx="3">
                  <c:v>33239</c:v>
                </c:pt>
                <c:pt idx="4">
                  <c:v>33604</c:v>
                </c:pt>
                <c:pt idx="5">
                  <c:v>33970</c:v>
                </c:pt>
                <c:pt idx="6">
                  <c:v>34335</c:v>
                </c:pt>
                <c:pt idx="7">
                  <c:v>34700</c:v>
                </c:pt>
                <c:pt idx="8">
                  <c:v>35065</c:v>
                </c:pt>
                <c:pt idx="9">
                  <c:v>35431</c:v>
                </c:pt>
                <c:pt idx="10">
                  <c:v>35796</c:v>
                </c:pt>
                <c:pt idx="11">
                  <c:v>36161</c:v>
                </c:pt>
                <c:pt idx="12">
                  <c:v>36526</c:v>
                </c:pt>
                <c:pt idx="13">
                  <c:v>36892</c:v>
                </c:pt>
                <c:pt idx="14">
                  <c:v>37257</c:v>
                </c:pt>
                <c:pt idx="15">
                  <c:v>37622</c:v>
                </c:pt>
                <c:pt idx="16">
                  <c:v>37987</c:v>
                </c:pt>
                <c:pt idx="17">
                  <c:v>38353</c:v>
                </c:pt>
                <c:pt idx="18">
                  <c:v>38718</c:v>
                </c:pt>
                <c:pt idx="19">
                  <c:v>39083</c:v>
                </c:pt>
                <c:pt idx="20">
                  <c:v>39448</c:v>
                </c:pt>
                <c:pt idx="21">
                  <c:v>39814</c:v>
                </c:pt>
                <c:pt idx="22">
                  <c:v>40179</c:v>
                </c:pt>
                <c:pt idx="23">
                  <c:v>40544</c:v>
                </c:pt>
                <c:pt idx="24">
                  <c:v>40909</c:v>
                </c:pt>
                <c:pt idx="25">
                  <c:v>41275</c:v>
                </c:pt>
                <c:pt idx="26">
                  <c:v>41640</c:v>
                </c:pt>
                <c:pt idx="27">
                  <c:v>42005</c:v>
                </c:pt>
                <c:pt idx="28">
                  <c:v>42370</c:v>
                </c:pt>
                <c:pt idx="29">
                  <c:v>42736</c:v>
                </c:pt>
                <c:pt idx="30">
                  <c:v>43101</c:v>
                </c:pt>
                <c:pt idx="31">
                  <c:v>43466</c:v>
                </c:pt>
                <c:pt idx="32">
                  <c:v>43831</c:v>
                </c:pt>
                <c:pt idx="33">
                  <c:v>44197</c:v>
                </c:pt>
                <c:pt idx="34">
                  <c:v>44562</c:v>
                </c:pt>
                <c:pt idx="35">
                  <c:v>44927</c:v>
                </c:pt>
                <c:pt idx="36">
                  <c:v>45292</c:v>
                </c:pt>
              </c:numCache>
            </c:numRef>
          </c:cat>
          <c:val>
            <c:numRef>
              <c:f>'Dinámica quincenal'!$E$49:$E$85</c:f>
              <c:numCache>
                <c:formatCode>0.00%</c:formatCode>
                <c:ptCount val="37"/>
                <c:pt idx="0">
                  <c:v>1.4052009673574783E-2</c:v>
                </c:pt>
                <c:pt idx="1">
                  <c:v>1.5017504669066595E-2</c:v>
                </c:pt>
                <c:pt idx="2">
                  <c:v>1.4799850486703958E-2</c:v>
                </c:pt>
                <c:pt idx="3">
                  <c:v>1.3652854830438876E-2</c:v>
                </c:pt>
                <c:pt idx="4">
                  <c:v>5.8086042459382092E-3</c:v>
                </c:pt>
                <c:pt idx="5">
                  <c:v>1.1807135006738356E-3</c:v>
                </c:pt>
                <c:pt idx="6">
                  <c:v>3.3142705096338432E-3</c:v>
                </c:pt>
                <c:pt idx="7">
                  <c:v>1.5257952516968709E-2</c:v>
                </c:pt>
                <c:pt idx="8">
                  <c:v>1.3510087138197902E-2</c:v>
                </c:pt>
                <c:pt idx="9">
                  <c:v>7.3532864176508728E-3</c:v>
                </c:pt>
                <c:pt idx="10">
                  <c:v>9.3717982869876426E-3</c:v>
                </c:pt>
                <c:pt idx="11">
                  <c:v>4.4675645710472445E-3</c:v>
                </c:pt>
                <c:pt idx="12">
                  <c:v>3.3303522080003756E-3</c:v>
                </c:pt>
                <c:pt idx="13">
                  <c:v>1.4507730689921061E-3</c:v>
                </c:pt>
                <c:pt idx="14">
                  <c:v>9.110572143713469E-4</c:v>
                </c:pt>
                <c:pt idx="15">
                  <c:v>1.3900790094092397E-3</c:v>
                </c:pt>
                <c:pt idx="16">
                  <c:v>1.7687440525910869E-3</c:v>
                </c:pt>
                <c:pt idx="17">
                  <c:v>1.9042936090643003E-3</c:v>
                </c:pt>
                <c:pt idx="18">
                  <c:v>2.798928392284461E-3</c:v>
                </c:pt>
                <c:pt idx="19">
                  <c:v>3.0169479035992985E-3</c:v>
                </c:pt>
                <c:pt idx="20">
                  <c:v>4.1575771343460577E-3</c:v>
                </c:pt>
                <c:pt idx="21">
                  <c:v>3.4699645499436382E-3</c:v>
                </c:pt>
                <c:pt idx="22">
                  <c:v>3.0521841150072948E-3</c:v>
                </c:pt>
                <c:pt idx="23">
                  <c:v>3.4658694436129345E-3</c:v>
                </c:pt>
                <c:pt idx="24">
                  <c:v>2.5865082784874982E-3</c:v>
                </c:pt>
                <c:pt idx="25">
                  <c:v>3.0478343642981187E-3</c:v>
                </c:pt>
                <c:pt idx="26">
                  <c:v>2.093069980987794E-3</c:v>
                </c:pt>
                <c:pt idx="27">
                  <c:v>2.7172048738672849E-3</c:v>
                </c:pt>
                <c:pt idx="28">
                  <c:v>4.674658656287578E-3</c:v>
                </c:pt>
                <c:pt idx="29">
                  <c:v>4.25050212381195E-3</c:v>
                </c:pt>
                <c:pt idx="30">
                  <c:v>4.217167045388992E-3</c:v>
                </c:pt>
                <c:pt idx="31">
                  <c:v>3.6445575236589978E-3</c:v>
                </c:pt>
                <c:pt idx="32">
                  <c:v>5.2151832843601031E-3</c:v>
                </c:pt>
                <c:pt idx="33">
                  <c:v>5.8737096864776017E-3</c:v>
                </c:pt>
                <c:pt idx="34">
                  <c:v>5.7041003321458561E-3</c:v>
                </c:pt>
                <c:pt idx="35">
                  <c:v>4.6477944435823204E-3</c:v>
                </c:pt>
                <c:pt idx="36">
                  <c:v>5.0423086563513575E-3</c:v>
                </c:pt>
              </c:numCache>
            </c:numRef>
          </c:val>
          <c:extLst>
            <c:ext xmlns:c16="http://schemas.microsoft.com/office/drawing/2014/chart" uri="{C3380CC4-5D6E-409C-BE32-E72D297353CC}">
              <c16:uniqueId val="{00000001-CDF2-46C6-A2A5-FF1DE2A7EBE9}"/>
            </c:ext>
          </c:extLst>
        </c:ser>
        <c:dLbls>
          <c:showLegendKey val="0"/>
          <c:showVal val="0"/>
          <c:showCatName val="0"/>
          <c:showSerName val="0"/>
          <c:showPercent val="0"/>
          <c:showBubbleSize val="0"/>
        </c:dLbls>
        <c:gapWidth val="80"/>
        <c:axId val="878935552"/>
        <c:axId val="1635874384"/>
      </c:barChart>
      <c:dateAx>
        <c:axId val="878935552"/>
        <c:scaling>
          <c:orientation val="minMax"/>
          <c:min val="40179"/>
        </c:scaling>
        <c:delete val="0"/>
        <c:axPos val="b"/>
        <c:numFmt formatCode="yyyy" sourceLinked="1"/>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1635874384"/>
        <c:crosses val="autoZero"/>
        <c:auto val="1"/>
        <c:lblOffset val="100"/>
        <c:baseTimeUnit val="years"/>
        <c:majorUnit val="1"/>
        <c:majorTimeUnit val="years"/>
      </c:dateAx>
      <c:valAx>
        <c:axId val="1635874384"/>
        <c:scaling>
          <c:orientation val="minMax"/>
          <c:max val="7.0000000000000019E-3"/>
          <c:min val="0"/>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878935552"/>
        <c:crosses val="autoZero"/>
        <c:crossBetween val="between"/>
        <c:majorUnit val="1.0000000000000002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Leelawadee UI" panose="020B0502040204020203" pitchFamily="34" charset="-34"/>
          <a:cs typeface="Leelawadee UI" panose="020B0502040204020203" pitchFamily="34" charset="-34"/>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r>
              <a:rPr lang="en-US" sz="800" b="1"/>
              <a:t>Figura 2. </a:t>
            </a:r>
            <a:r>
              <a:rPr lang="en-US" sz="800"/>
              <a:t>Inflación quincenal de </a:t>
            </a:r>
            <a:r>
              <a:rPr lang="en-US" sz="800" baseline="0"/>
              <a:t>México,</a:t>
            </a:r>
            <a:r>
              <a:rPr lang="en-US" sz="800"/>
              <a:t> primera quincena de diciembre en cada año</a:t>
            </a:r>
          </a:p>
        </c:rich>
      </c:tx>
      <c:layout>
        <c:manualLayout>
          <c:xMode val="edge"/>
          <c:yMode val="edge"/>
          <c:x val="0.1409233479767713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title>
    <c:autoTitleDeleted val="0"/>
    <c:plotArea>
      <c:layout>
        <c:manualLayout>
          <c:layoutTarget val="inner"/>
          <c:xMode val="edge"/>
          <c:yMode val="edge"/>
          <c:x val="6.8501886212554597E-2"/>
          <c:y val="0.22680092592592596"/>
          <c:w val="0.83034367646888363"/>
          <c:h val="0.56349675925925924"/>
        </c:manualLayout>
      </c:layout>
      <c:barChart>
        <c:barDir val="col"/>
        <c:grouping val="clustered"/>
        <c:varyColors val="0"/>
        <c:ser>
          <c:idx val="0"/>
          <c:order val="0"/>
          <c:tx>
            <c:strRef>
              <c:f>'Dinámica quincenal'!$G$48</c:f>
              <c:strCache>
                <c:ptCount val="1"/>
                <c:pt idx="0">
                  <c:v>General</c:v>
                </c:pt>
              </c:strCache>
            </c:strRef>
          </c:tx>
          <c:spPr>
            <a:solidFill>
              <a:srgbClr val="002060"/>
            </a:solidFill>
            <a:ln>
              <a:noFill/>
            </a:ln>
            <a:effectLst/>
          </c:spPr>
          <c:invertIfNegative val="0"/>
          <c:dPt>
            <c:idx val="36"/>
            <c:invertIfNegative val="0"/>
            <c:bubble3D val="0"/>
            <c:spPr>
              <a:solidFill>
                <a:srgbClr val="FFC000"/>
              </a:solidFill>
              <a:ln>
                <a:noFill/>
              </a:ln>
              <a:effectLst/>
            </c:spPr>
            <c:extLst>
              <c:ext xmlns:c16="http://schemas.microsoft.com/office/drawing/2014/chart" uri="{C3380CC4-5D6E-409C-BE32-E72D297353CC}">
                <c16:uniqueId val="{00000000-F4DF-4A1F-8FA6-87C17A9BD55E}"/>
              </c:ext>
            </c:extLst>
          </c:dPt>
          <c:dLbls>
            <c:dLbl>
              <c:idx val="36"/>
              <c:layout>
                <c:manualLayout>
                  <c:x val="-2.0229890847808648E-16"/>
                  <c:y val="-1.4029986610752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DF-4A1F-8FA6-87C17A9BD55E}"/>
                </c:ext>
              </c:extLst>
            </c:dLbl>
            <c:spPr>
              <a:noFill/>
              <a:ln>
                <a:noFill/>
              </a:ln>
              <a:effectLst/>
            </c:spPr>
            <c:txPr>
              <a:bodyPr rot="-5400000" spcFirstLastPara="1" vertOverflow="ellipsis" wrap="square" lIns="38100" tIns="19050" rIns="38100" bIns="19050" anchor="ctr" anchorCtr="1">
                <a:spAutoFit/>
              </a:bodyPr>
              <a:lstStyle/>
              <a:p>
                <a:pPr>
                  <a:defRPr sz="700" b="1"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'Dinámica quincenal'!$D$49:$D$85</c:f>
              <c:numCache>
                <c:formatCode>yyyy</c:formatCode>
                <c:ptCount val="37"/>
                <c:pt idx="0">
                  <c:v>32143</c:v>
                </c:pt>
                <c:pt idx="1">
                  <c:v>32509</c:v>
                </c:pt>
                <c:pt idx="2">
                  <c:v>32874</c:v>
                </c:pt>
                <c:pt idx="3">
                  <c:v>33239</c:v>
                </c:pt>
                <c:pt idx="4">
                  <c:v>33604</c:v>
                </c:pt>
                <c:pt idx="5">
                  <c:v>33970</c:v>
                </c:pt>
                <c:pt idx="6">
                  <c:v>34335</c:v>
                </c:pt>
                <c:pt idx="7">
                  <c:v>34700</c:v>
                </c:pt>
                <c:pt idx="8">
                  <c:v>35065</c:v>
                </c:pt>
                <c:pt idx="9">
                  <c:v>35431</c:v>
                </c:pt>
                <c:pt idx="10">
                  <c:v>35796</c:v>
                </c:pt>
                <c:pt idx="11">
                  <c:v>36161</c:v>
                </c:pt>
                <c:pt idx="12">
                  <c:v>36526</c:v>
                </c:pt>
                <c:pt idx="13">
                  <c:v>36892</c:v>
                </c:pt>
                <c:pt idx="14">
                  <c:v>37257</c:v>
                </c:pt>
                <c:pt idx="15">
                  <c:v>37622</c:v>
                </c:pt>
                <c:pt idx="16">
                  <c:v>37987</c:v>
                </c:pt>
                <c:pt idx="17">
                  <c:v>38353</c:v>
                </c:pt>
                <c:pt idx="18">
                  <c:v>38718</c:v>
                </c:pt>
                <c:pt idx="19">
                  <c:v>39083</c:v>
                </c:pt>
                <c:pt idx="20">
                  <c:v>39448</c:v>
                </c:pt>
                <c:pt idx="21">
                  <c:v>39814</c:v>
                </c:pt>
                <c:pt idx="22">
                  <c:v>40179</c:v>
                </c:pt>
                <c:pt idx="23">
                  <c:v>40544</c:v>
                </c:pt>
                <c:pt idx="24">
                  <c:v>40909</c:v>
                </c:pt>
                <c:pt idx="25">
                  <c:v>41275</c:v>
                </c:pt>
                <c:pt idx="26">
                  <c:v>41640</c:v>
                </c:pt>
                <c:pt idx="27">
                  <c:v>42005</c:v>
                </c:pt>
                <c:pt idx="28">
                  <c:v>42370</c:v>
                </c:pt>
                <c:pt idx="29">
                  <c:v>42736</c:v>
                </c:pt>
                <c:pt idx="30">
                  <c:v>43101</c:v>
                </c:pt>
                <c:pt idx="31">
                  <c:v>43466</c:v>
                </c:pt>
                <c:pt idx="32">
                  <c:v>43831</c:v>
                </c:pt>
                <c:pt idx="33">
                  <c:v>44197</c:v>
                </c:pt>
                <c:pt idx="34">
                  <c:v>44562</c:v>
                </c:pt>
                <c:pt idx="35">
                  <c:v>44927</c:v>
                </c:pt>
                <c:pt idx="36">
                  <c:v>45292</c:v>
                </c:pt>
              </c:numCache>
            </c:numRef>
          </c:cat>
          <c:val>
            <c:numRef>
              <c:f>'Dinámica quincenal'!$G$49:$G$85</c:f>
              <c:numCache>
                <c:formatCode>0.00%</c:formatCode>
                <c:ptCount val="37"/>
                <c:pt idx="0">
                  <c:v>1.5136971330207194E-2</c:v>
                </c:pt>
                <c:pt idx="1">
                  <c:v>1.7704323996646121E-2</c:v>
                </c:pt>
                <c:pt idx="2">
                  <c:v>1.3461986387462765E-2</c:v>
                </c:pt>
                <c:pt idx="3">
                  <c:v>1.1951064765975516E-2</c:v>
                </c:pt>
                <c:pt idx="4">
                  <c:v>8.9017211862045809E-3</c:v>
                </c:pt>
                <c:pt idx="5">
                  <c:v>3.939874467967952E-3</c:v>
                </c:pt>
                <c:pt idx="6">
                  <c:v>4.4037862938874905E-3</c:v>
                </c:pt>
                <c:pt idx="7">
                  <c:v>1.5821513499176598E-2</c:v>
                </c:pt>
                <c:pt idx="8">
                  <c:v>2.3422184440116123E-2</c:v>
                </c:pt>
                <c:pt idx="9">
                  <c:v>7.5564564882129037E-3</c:v>
                </c:pt>
                <c:pt idx="10">
                  <c:v>1.4014408078802276E-2</c:v>
                </c:pt>
                <c:pt idx="11">
                  <c:v>5.0852688591687123E-3</c:v>
                </c:pt>
                <c:pt idx="12">
                  <c:v>7.1956272631805707E-3</c:v>
                </c:pt>
                <c:pt idx="13">
                  <c:v>1.5503844229278751E-3</c:v>
                </c:pt>
                <c:pt idx="14">
                  <c:v>2.2611424617304809E-3</c:v>
                </c:pt>
                <c:pt idx="15">
                  <c:v>2.2322475356131299E-3</c:v>
                </c:pt>
                <c:pt idx="16">
                  <c:v>1.5116351446318177E-3</c:v>
                </c:pt>
                <c:pt idx="17">
                  <c:v>4.1516026916277315E-3</c:v>
                </c:pt>
                <c:pt idx="18">
                  <c:v>3.8607153531866611E-3</c:v>
                </c:pt>
                <c:pt idx="19">
                  <c:v>1.966253966482201E-3</c:v>
                </c:pt>
                <c:pt idx="20">
                  <c:v>4.5421047090474787E-3</c:v>
                </c:pt>
                <c:pt idx="21">
                  <c:v>2.54285176115987E-3</c:v>
                </c:pt>
                <c:pt idx="22">
                  <c:v>1.9307298575523824E-3</c:v>
                </c:pt>
                <c:pt idx="23">
                  <c:v>5.0587594365327782E-3</c:v>
                </c:pt>
                <c:pt idx="24">
                  <c:v>2.7408536870567879E-3</c:v>
                </c:pt>
                <c:pt idx="25">
                  <c:v>4.0312034991210055E-3</c:v>
                </c:pt>
                <c:pt idx="26">
                  <c:v>4.1465040382973051E-3</c:v>
                </c:pt>
                <c:pt idx="27">
                  <c:v>2.5759000821918843E-3</c:v>
                </c:pt>
                <c:pt idx="28">
                  <c:v>4.1581235134906525E-3</c:v>
                </c:pt>
                <c:pt idx="29">
                  <c:v>4.351603404399107E-3</c:v>
                </c:pt>
                <c:pt idx="30">
                  <c:v>5.6209928468964332E-3</c:v>
                </c:pt>
                <c:pt idx="31">
                  <c:v>3.5106695890618766E-3</c:v>
                </c:pt>
                <c:pt idx="32">
                  <c:v>3.373130761665788E-3</c:v>
                </c:pt>
                <c:pt idx="33">
                  <c:v>9.9842981977071865E-4</c:v>
                </c:pt>
                <c:pt idx="34">
                  <c:v>3.8991153534615464E-3</c:v>
                </c:pt>
                <c:pt idx="35">
                  <c:v>5.1912069175494846E-3</c:v>
                </c:pt>
                <c:pt idx="36">
                  <c:v>4.2376892215612028E-3</c:v>
                </c:pt>
              </c:numCache>
            </c:numRef>
          </c:val>
          <c:extLst>
            <c:ext xmlns:c16="http://schemas.microsoft.com/office/drawing/2014/chart" uri="{C3380CC4-5D6E-409C-BE32-E72D297353CC}">
              <c16:uniqueId val="{00000001-F4DF-4A1F-8FA6-87C17A9BD55E}"/>
            </c:ext>
          </c:extLst>
        </c:ser>
        <c:dLbls>
          <c:showLegendKey val="0"/>
          <c:showVal val="0"/>
          <c:showCatName val="0"/>
          <c:showSerName val="0"/>
          <c:showPercent val="0"/>
          <c:showBubbleSize val="0"/>
        </c:dLbls>
        <c:gapWidth val="80"/>
        <c:axId val="878935552"/>
        <c:axId val="1635874384"/>
      </c:barChart>
      <c:dateAx>
        <c:axId val="878935552"/>
        <c:scaling>
          <c:orientation val="minMax"/>
          <c:min val="40179"/>
        </c:scaling>
        <c:delete val="0"/>
        <c:axPos val="b"/>
        <c:numFmt formatCode="yyyy" sourceLinked="1"/>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1635874384"/>
        <c:crosses val="autoZero"/>
        <c:auto val="1"/>
        <c:lblOffset val="100"/>
        <c:baseTimeUnit val="years"/>
        <c:majorUnit val="1"/>
        <c:majorTimeUnit val="years"/>
      </c:dateAx>
      <c:valAx>
        <c:axId val="1635874384"/>
        <c:scaling>
          <c:orientation val="minMax"/>
          <c:max val="6.0000000000000019E-3"/>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878935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Leelawadee UI" panose="020B0502040204020203" pitchFamily="34" charset="-34"/>
          <a:cs typeface="Leelawadee UI" panose="020B0502040204020203" pitchFamily="34" charset="-34"/>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r>
              <a:rPr lang="en-US" sz="800" b="1"/>
              <a:t>Figura 4. </a:t>
            </a:r>
            <a:r>
              <a:rPr lang="en-US" sz="800"/>
              <a:t>Inflación quincenal del</a:t>
            </a:r>
            <a:r>
              <a:rPr lang="en-US" sz="800" baseline="0"/>
              <a:t> componente no subyacente,</a:t>
            </a:r>
            <a:r>
              <a:rPr lang="en-US" sz="800"/>
              <a:t> primera quincena de diciembre en cada año</a:t>
            </a:r>
          </a:p>
        </c:rich>
      </c:tx>
      <c:layout>
        <c:manualLayout>
          <c:xMode val="edge"/>
          <c:yMode val="edge"/>
          <c:x val="0.1409233479767713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title>
    <c:autoTitleDeleted val="0"/>
    <c:plotArea>
      <c:layout>
        <c:manualLayout>
          <c:layoutTarget val="inner"/>
          <c:xMode val="edge"/>
          <c:yMode val="edge"/>
          <c:x val="6.8501886212554597E-2"/>
          <c:y val="0.22680092592592596"/>
          <c:w val="0.83034367646888363"/>
          <c:h val="0.56349675925925924"/>
        </c:manualLayout>
      </c:layout>
      <c:barChart>
        <c:barDir val="col"/>
        <c:grouping val="clustered"/>
        <c:varyColors val="0"/>
        <c:ser>
          <c:idx val="0"/>
          <c:order val="0"/>
          <c:tx>
            <c:strRef>
              <c:f>'Dinámica quincenal'!$F$48</c:f>
              <c:strCache>
                <c:ptCount val="1"/>
                <c:pt idx="0">
                  <c:v>No subyacente</c:v>
                </c:pt>
              </c:strCache>
            </c:strRef>
          </c:tx>
          <c:spPr>
            <a:solidFill>
              <a:srgbClr val="002060"/>
            </a:solidFill>
            <a:ln>
              <a:noFill/>
            </a:ln>
            <a:effectLst/>
          </c:spPr>
          <c:invertIfNegative val="0"/>
          <c:dPt>
            <c:idx val="36"/>
            <c:invertIfNegative val="0"/>
            <c:bubble3D val="0"/>
            <c:spPr>
              <a:solidFill>
                <a:srgbClr val="FFC000"/>
              </a:solidFill>
              <a:ln>
                <a:noFill/>
              </a:ln>
              <a:effectLst/>
            </c:spPr>
            <c:extLst>
              <c:ext xmlns:c16="http://schemas.microsoft.com/office/drawing/2014/chart" uri="{C3380CC4-5D6E-409C-BE32-E72D297353CC}">
                <c16:uniqueId val="{00000000-E552-4FBA-8E67-0B5BD2E8B141}"/>
              </c:ext>
            </c:extLst>
          </c:dPt>
          <c:dLbls>
            <c:dLbl>
              <c:idx val="36"/>
              <c:layout>
                <c:manualLayout>
                  <c:x val="-2.0229890847808648E-16"/>
                  <c:y val="-1.4029986610752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52-4FBA-8E67-0B5BD2E8B141}"/>
                </c:ext>
              </c:extLst>
            </c:dLbl>
            <c:spPr>
              <a:noFill/>
              <a:ln>
                <a:noFill/>
              </a:ln>
              <a:effectLst/>
            </c:spPr>
            <c:txPr>
              <a:bodyPr rot="-5400000" spcFirstLastPara="1" vertOverflow="ellipsis" wrap="square" lIns="38100" tIns="19050" rIns="38100" bIns="19050" anchor="ctr" anchorCtr="1">
                <a:spAutoFit/>
              </a:bodyPr>
              <a:lstStyle/>
              <a:p>
                <a:pPr>
                  <a:defRPr sz="700" b="1"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'Dinámica quincenal'!$D$49:$D$85</c:f>
              <c:numCache>
                <c:formatCode>yyyy</c:formatCode>
                <c:ptCount val="37"/>
                <c:pt idx="0">
                  <c:v>32143</c:v>
                </c:pt>
                <c:pt idx="1">
                  <c:v>32509</c:v>
                </c:pt>
                <c:pt idx="2">
                  <c:v>32874</c:v>
                </c:pt>
                <c:pt idx="3">
                  <c:v>33239</c:v>
                </c:pt>
                <c:pt idx="4">
                  <c:v>33604</c:v>
                </c:pt>
                <c:pt idx="5">
                  <c:v>33970</c:v>
                </c:pt>
                <c:pt idx="6">
                  <c:v>34335</c:v>
                </c:pt>
                <c:pt idx="7">
                  <c:v>34700</c:v>
                </c:pt>
                <c:pt idx="8">
                  <c:v>35065</c:v>
                </c:pt>
                <c:pt idx="9">
                  <c:v>35431</c:v>
                </c:pt>
                <c:pt idx="10">
                  <c:v>35796</c:v>
                </c:pt>
                <c:pt idx="11">
                  <c:v>36161</c:v>
                </c:pt>
                <c:pt idx="12">
                  <c:v>36526</c:v>
                </c:pt>
                <c:pt idx="13">
                  <c:v>36892</c:v>
                </c:pt>
                <c:pt idx="14">
                  <c:v>37257</c:v>
                </c:pt>
                <c:pt idx="15">
                  <c:v>37622</c:v>
                </c:pt>
                <c:pt idx="16">
                  <c:v>37987</c:v>
                </c:pt>
                <c:pt idx="17">
                  <c:v>38353</c:v>
                </c:pt>
                <c:pt idx="18">
                  <c:v>38718</c:v>
                </c:pt>
                <c:pt idx="19">
                  <c:v>39083</c:v>
                </c:pt>
                <c:pt idx="20">
                  <c:v>39448</c:v>
                </c:pt>
                <c:pt idx="21">
                  <c:v>39814</c:v>
                </c:pt>
                <c:pt idx="22">
                  <c:v>40179</c:v>
                </c:pt>
                <c:pt idx="23">
                  <c:v>40544</c:v>
                </c:pt>
                <c:pt idx="24">
                  <c:v>40909</c:v>
                </c:pt>
                <c:pt idx="25">
                  <c:v>41275</c:v>
                </c:pt>
                <c:pt idx="26">
                  <c:v>41640</c:v>
                </c:pt>
                <c:pt idx="27">
                  <c:v>42005</c:v>
                </c:pt>
                <c:pt idx="28">
                  <c:v>42370</c:v>
                </c:pt>
                <c:pt idx="29">
                  <c:v>42736</c:v>
                </c:pt>
                <c:pt idx="30">
                  <c:v>43101</c:v>
                </c:pt>
                <c:pt idx="31">
                  <c:v>43466</c:v>
                </c:pt>
                <c:pt idx="32">
                  <c:v>43831</c:v>
                </c:pt>
                <c:pt idx="33">
                  <c:v>44197</c:v>
                </c:pt>
                <c:pt idx="34">
                  <c:v>44562</c:v>
                </c:pt>
                <c:pt idx="35">
                  <c:v>44927</c:v>
                </c:pt>
                <c:pt idx="36">
                  <c:v>45292</c:v>
                </c:pt>
              </c:numCache>
            </c:numRef>
          </c:cat>
          <c:val>
            <c:numRef>
              <c:f>'Dinámica quincenal'!$F$49:$F$85</c:f>
              <c:numCache>
                <c:formatCode>0.00%</c:formatCode>
                <c:ptCount val="37"/>
                <c:pt idx="0">
                  <c:v>1.8510746182337501E-2</c:v>
                </c:pt>
                <c:pt idx="1">
                  <c:v>2.6707058516476812E-2</c:v>
                </c:pt>
                <c:pt idx="2">
                  <c:v>9.168609189863286E-3</c:v>
                </c:pt>
                <c:pt idx="3">
                  <c:v>6.7345081602425694E-3</c:v>
                </c:pt>
                <c:pt idx="4">
                  <c:v>1.8958822372108441E-2</c:v>
                </c:pt>
                <c:pt idx="5">
                  <c:v>1.3043851953485897E-2</c:v>
                </c:pt>
                <c:pt idx="6">
                  <c:v>8.0515723388816518E-3</c:v>
                </c:pt>
                <c:pt idx="7">
                  <c:v>1.7479682097255811E-2</c:v>
                </c:pt>
                <c:pt idx="8">
                  <c:v>5.1548765697006615E-2</c:v>
                </c:pt>
                <c:pt idx="9">
                  <c:v>8.1392550412917597E-3</c:v>
                </c:pt>
                <c:pt idx="10">
                  <c:v>2.6818427578828352E-2</c:v>
                </c:pt>
                <c:pt idx="11">
                  <c:v>6.8851973002854727E-3</c:v>
                </c:pt>
                <c:pt idx="12">
                  <c:v>1.8164644543409825E-2</c:v>
                </c:pt>
                <c:pt idx="13">
                  <c:v>1.837691816791942E-3</c:v>
                </c:pt>
                <c:pt idx="14">
                  <c:v>7.0841199486193496E-3</c:v>
                </c:pt>
                <c:pt idx="15">
                  <c:v>5.2111264568499571E-3</c:v>
                </c:pt>
                <c:pt idx="16">
                  <c:v>6.3379017812814631E-4</c:v>
                </c:pt>
                <c:pt idx="17">
                  <c:v>1.1811344114744493E-2</c:v>
                </c:pt>
                <c:pt idx="18">
                  <c:v>7.4019894176127199E-3</c:v>
                </c:pt>
                <c:pt idx="19">
                  <c:v>-1.5307218341520379E-3</c:v>
                </c:pt>
                <c:pt idx="20">
                  <c:v>5.7375057381585659E-3</c:v>
                </c:pt>
                <c:pt idx="21">
                  <c:v>-4.4373896329630291E-4</c:v>
                </c:pt>
                <c:pt idx="22">
                  <c:v>-1.5884583433511956E-3</c:v>
                </c:pt>
                <c:pt idx="23">
                  <c:v>1.0307805265532544E-2</c:v>
                </c:pt>
                <c:pt idx="24">
                  <c:v>3.2355399828776221E-3</c:v>
                </c:pt>
                <c:pt idx="25">
                  <c:v>7.1247973349939375E-3</c:v>
                </c:pt>
                <c:pt idx="26">
                  <c:v>1.0415280598130572E-2</c:v>
                </c:pt>
                <c:pt idx="27">
                  <c:v>2.1281431116133565E-3</c:v>
                </c:pt>
                <c:pt idx="28">
                  <c:v>2.5675819940471634E-3</c:v>
                </c:pt>
                <c:pt idx="29">
                  <c:v>4.638417401205297E-3</c:v>
                </c:pt>
                <c:pt idx="30">
                  <c:v>9.7164079220273258E-3</c:v>
                </c:pt>
                <c:pt idx="31">
                  <c:v>3.078272906344548E-3</c:v>
                </c:pt>
                <c:pt idx="32">
                  <c:v>-2.3063649285886001E-3</c:v>
                </c:pt>
                <c:pt idx="33">
                  <c:v>-1.2944184902056954E-2</c:v>
                </c:pt>
                <c:pt idx="34">
                  <c:v>-1.4178971346768821E-3</c:v>
                </c:pt>
                <c:pt idx="35">
                  <c:v>6.8418471397251324E-3</c:v>
                </c:pt>
                <c:pt idx="36">
                  <c:v>1.6024835595533915E-3</c:v>
                </c:pt>
              </c:numCache>
            </c:numRef>
          </c:val>
          <c:extLst>
            <c:ext xmlns:c16="http://schemas.microsoft.com/office/drawing/2014/chart" uri="{C3380CC4-5D6E-409C-BE32-E72D297353CC}">
              <c16:uniqueId val="{00000001-E552-4FBA-8E67-0B5BD2E8B141}"/>
            </c:ext>
          </c:extLst>
        </c:ser>
        <c:dLbls>
          <c:showLegendKey val="0"/>
          <c:showVal val="0"/>
          <c:showCatName val="0"/>
          <c:showSerName val="0"/>
          <c:showPercent val="0"/>
          <c:showBubbleSize val="0"/>
        </c:dLbls>
        <c:gapWidth val="80"/>
        <c:axId val="878935552"/>
        <c:axId val="1635874384"/>
      </c:barChart>
      <c:dateAx>
        <c:axId val="878935552"/>
        <c:scaling>
          <c:orientation val="minMax"/>
          <c:min val="40179"/>
        </c:scaling>
        <c:delete val="0"/>
        <c:axPos val="b"/>
        <c:numFmt formatCode="yyyy" sourceLinked="1"/>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1635874384"/>
        <c:crosses val="autoZero"/>
        <c:auto val="1"/>
        <c:lblOffset val="100"/>
        <c:baseTimeUnit val="years"/>
        <c:majorUnit val="1"/>
        <c:majorTimeUnit val="years"/>
      </c:dateAx>
      <c:valAx>
        <c:axId val="1635874384"/>
        <c:scaling>
          <c:orientation val="minMax"/>
          <c:max val="1.2000000000000002E-2"/>
          <c:min val="-1.3000000000000003E-2"/>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878935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Leelawadee UI" panose="020B0502040204020203" pitchFamily="34" charset="-34"/>
          <a:cs typeface="Leelawadee UI" panose="020B0502040204020203" pitchFamily="34" charset="-34"/>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US" sz="800" b="1"/>
              <a:t>Figura 5. </a:t>
            </a:r>
            <a:r>
              <a:rPr lang="en-US" sz="800"/>
              <a:t>Inflación general, subyacente y no subyacente, tasa anual</a:t>
            </a:r>
          </a:p>
        </c:rich>
      </c:tx>
      <c:layout>
        <c:manualLayout>
          <c:xMode val="edge"/>
          <c:yMode val="edge"/>
          <c:x val="0.112605943687964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autoTitleDeleted val="0"/>
    <c:plotArea>
      <c:layout>
        <c:manualLayout>
          <c:layoutTarget val="inner"/>
          <c:xMode val="edge"/>
          <c:yMode val="edge"/>
          <c:x val="9.7002685927410376E-2"/>
          <c:y val="0.10715514017122067"/>
          <c:w val="0.77880762636525269"/>
          <c:h val="0.53496713868427737"/>
        </c:manualLayout>
      </c:layout>
      <c:lineChart>
        <c:grouping val="standard"/>
        <c:varyColors val="0"/>
        <c:ser>
          <c:idx val="0"/>
          <c:order val="0"/>
          <c:tx>
            <c:strRef>
              <c:f>Anual!$C$1</c:f>
              <c:strCache>
                <c:ptCount val="1"/>
                <c:pt idx="0">
                  <c:v>Inflación general</c:v>
                </c:pt>
              </c:strCache>
            </c:strRef>
          </c:tx>
          <c:spPr>
            <a:ln w="28575" cap="rnd">
              <a:solidFill>
                <a:srgbClr val="17365D"/>
              </a:solidFill>
              <a:round/>
            </a:ln>
            <a:effectLst/>
          </c:spPr>
          <c:marker>
            <c:symbol val="none"/>
          </c:marker>
          <c:dLbls>
            <c:dLbl>
              <c:idx val="24"/>
              <c:layout>
                <c:manualLayout>
                  <c:x val="1.0939037342377909E-2"/>
                  <c:y val="-1.8013440262800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95-463B-8DA5-A5A40A91FE68}"/>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Anual!$C$864:$C$888</c:f>
              <c:numCache>
                <c:formatCode>0.00%</c:formatCode>
                <c:ptCount val="25"/>
                <c:pt idx="0">
                  <c:v>4.4622163158435812E-2</c:v>
                </c:pt>
                <c:pt idx="1">
                  <c:v>4.8593714190881654E-2</c:v>
                </c:pt>
                <c:pt idx="2">
                  <c:v>4.8963151766890034E-2</c:v>
                </c:pt>
                <c:pt idx="3">
                  <c:v>4.8715858132898582E-2</c:v>
                </c:pt>
                <c:pt idx="4">
                  <c:v>4.4527989245126909E-2</c:v>
                </c:pt>
                <c:pt idx="5">
                  <c:v>4.3479957237945843E-2</c:v>
                </c:pt>
                <c:pt idx="6">
                  <c:v>4.4755767837246108E-2</c:v>
                </c:pt>
                <c:pt idx="7">
                  <c:v>4.3671216238311272E-2</c:v>
                </c:pt>
                <c:pt idx="8">
                  <c:v>4.6323374587651678E-2</c:v>
                </c:pt>
                <c:pt idx="9">
                  <c:v>4.6740027082133651E-2</c:v>
                </c:pt>
                <c:pt idx="10">
                  <c:v>4.7841361542665162E-2</c:v>
                </c:pt>
                <c:pt idx="11">
                  <c:v>4.5886100657412054E-2</c:v>
                </c:pt>
                <c:pt idx="12">
                  <c:v>4.782646027991766E-2</c:v>
                </c:pt>
                <c:pt idx="13">
                  <c:v>5.1691487620695309E-2</c:v>
                </c:pt>
                <c:pt idx="14">
                  <c:v>5.6070554411593365E-2</c:v>
                </c:pt>
                <c:pt idx="15">
                  <c:v>5.5245405908350698E-2</c:v>
                </c:pt>
                <c:pt idx="16">
                  <c:v>5.1599938166640991E-2</c:v>
                </c:pt>
                <c:pt idx="17">
                  <c:v>4.8261134367940883E-2</c:v>
                </c:pt>
                <c:pt idx="18">
                  <c:v>4.6588173771273667E-2</c:v>
                </c:pt>
                <c:pt idx="19">
                  <c:v>4.5036327050980818E-2</c:v>
                </c:pt>
                <c:pt idx="20">
                  <c:v>4.6942277930157372E-2</c:v>
                </c:pt>
                <c:pt idx="21">
                  <c:v>4.8287629307706581E-2</c:v>
                </c:pt>
                <c:pt idx="22">
                  <c:v>4.5592104262663913E-2</c:v>
                </c:pt>
                <c:pt idx="23">
                  <c:v>4.5388807696991718E-2</c:v>
                </c:pt>
                <c:pt idx="24">
                  <c:v>4.439715882415296E-2</c:v>
                </c:pt>
              </c:numCache>
            </c:numRef>
          </c:val>
          <c:smooth val="0"/>
          <c:extLst>
            <c:ext xmlns:c16="http://schemas.microsoft.com/office/drawing/2014/chart" uri="{C3380CC4-5D6E-409C-BE32-E72D297353CC}">
              <c16:uniqueId val="{00000001-5095-463B-8DA5-A5A40A91FE68}"/>
            </c:ext>
          </c:extLst>
        </c:ser>
        <c:ser>
          <c:idx val="1"/>
          <c:order val="1"/>
          <c:tx>
            <c:strRef>
              <c:f>Anual!$D$1</c:f>
              <c:strCache>
                <c:ptCount val="1"/>
                <c:pt idx="0">
                  <c:v>Inflación subyacente</c:v>
                </c:pt>
              </c:strCache>
            </c:strRef>
          </c:tx>
          <c:spPr>
            <a:ln w="28575" cap="rnd">
              <a:solidFill>
                <a:srgbClr val="B4C7E7"/>
              </a:solidFill>
              <a:round/>
            </a:ln>
            <a:effectLst/>
          </c:spPr>
          <c:marker>
            <c:symbol val="none"/>
          </c:marker>
          <c:dLbls>
            <c:dLbl>
              <c:idx val="24"/>
              <c:layout>
                <c:manualLayout>
                  <c:x val="1.1132243412845634E-2"/>
                  <c:y val="1.260650142541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95-463B-8DA5-A5A40A91FE68}"/>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Anual!$D$864:$D$888</c:f>
              <c:numCache>
                <c:formatCode>0.00%</c:formatCode>
                <c:ptCount val="25"/>
                <c:pt idx="0">
                  <c:v>5.1930438588512207E-2</c:v>
                </c:pt>
                <c:pt idx="1">
                  <c:v>4.9825638779974035E-2</c:v>
                </c:pt>
                <c:pt idx="2">
                  <c:v>4.7822151681963243E-2</c:v>
                </c:pt>
                <c:pt idx="3">
                  <c:v>4.7464684634882071E-2</c:v>
                </c:pt>
                <c:pt idx="4">
                  <c:v>4.629273866555339E-2</c:v>
                </c:pt>
                <c:pt idx="5">
                  <c:v>4.6569026836936311E-2</c:v>
                </c:pt>
                <c:pt idx="6">
                  <c:v>4.6879601667930926E-2</c:v>
                </c:pt>
                <c:pt idx="7">
                  <c:v>4.4135434925208106E-2</c:v>
                </c:pt>
                <c:pt idx="8">
                  <c:v>4.3899598623615033E-2</c:v>
                </c:pt>
                <c:pt idx="9">
                  <c:v>4.3410243747448618E-2</c:v>
                </c:pt>
                <c:pt idx="10">
                  <c:v>4.3093880119133621E-2</c:v>
                </c:pt>
                <c:pt idx="11">
                  <c:v>4.1096398929276745E-2</c:v>
                </c:pt>
                <c:pt idx="12">
                  <c:v>4.1663393324828046E-2</c:v>
                </c:pt>
                <c:pt idx="13">
                  <c:v>4.0839472913809516E-2</c:v>
                </c:pt>
                <c:pt idx="14">
                  <c:v>4.0183321462382571E-2</c:v>
                </c:pt>
                <c:pt idx="15">
                  <c:v>4.0760928846664823E-2</c:v>
                </c:pt>
                <c:pt idx="16">
                  <c:v>3.984113420920421E-2</c:v>
                </c:pt>
                <c:pt idx="17">
                  <c:v>4.0076725862146168E-2</c:v>
                </c:pt>
                <c:pt idx="18">
                  <c:v>3.9468235025485798E-2</c:v>
                </c:pt>
                <c:pt idx="19">
                  <c:v>3.8788272897155585E-2</c:v>
                </c:pt>
                <c:pt idx="20">
                  <c:v>3.8677119767352997E-2</c:v>
                </c:pt>
                <c:pt idx="21">
                  <c:v>3.7384161904171709E-2</c:v>
                </c:pt>
                <c:pt idx="22">
                  <c:v>3.5805077447567113E-2</c:v>
                </c:pt>
                <c:pt idx="23">
                  <c:v>3.5745000180542608E-2</c:v>
                </c:pt>
                <c:pt idx="24">
                  <c:v>3.6151725926257372E-2</c:v>
                </c:pt>
              </c:numCache>
            </c:numRef>
          </c:val>
          <c:smooth val="0"/>
          <c:extLst>
            <c:ext xmlns:c16="http://schemas.microsoft.com/office/drawing/2014/chart" uri="{C3380CC4-5D6E-409C-BE32-E72D297353CC}">
              <c16:uniqueId val="{00000003-5095-463B-8DA5-A5A40A91FE68}"/>
            </c:ext>
          </c:extLst>
        </c:ser>
        <c:ser>
          <c:idx val="2"/>
          <c:order val="2"/>
          <c:tx>
            <c:strRef>
              <c:f>Anual!$L$1</c:f>
              <c:strCache>
                <c:ptCount val="1"/>
                <c:pt idx="0">
                  <c:v>No subyacente</c:v>
                </c:pt>
              </c:strCache>
            </c:strRef>
          </c:tx>
          <c:spPr>
            <a:ln w="28575" cap="rnd">
              <a:solidFill>
                <a:srgbClr val="FFC000"/>
              </a:solidFill>
              <a:round/>
            </a:ln>
            <a:effectLst/>
          </c:spPr>
          <c:marker>
            <c:symbol val="none"/>
          </c:marker>
          <c:dLbls>
            <c:dLbl>
              <c:idx val="24"/>
              <c:layout>
                <c:manualLayout>
                  <c:x val="1.114141084380087E-2"/>
                  <c:y val="-1.6430931367568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95-463B-8DA5-A5A40A91FE68}"/>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Anual!$L$864:$L$888</c:f>
              <c:numCache>
                <c:formatCode>0.00%</c:formatCode>
                <c:ptCount val="25"/>
                <c:pt idx="0">
                  <c:v>2.2848229121862573E-2</c:v>
                </c:pt>
                <c:pt idx="1">
                  <c:v>4.4913721057391331E-2</c:v>
                </c:pt>
                <c:pt idx="2">
                  <c:v>5.2364970018883739E-2</c:v>
                </c:pt>
                <c:pt idx="3">
                  <c:v>5.2461185063195526E-2</c:v>
                </c:pt>
                <c:pt idx="4">
                  <c:v>3.9251570350798293E-2</c:v>
                </c:pt>
                <c:pt idx="5">
                  <c:v>3.423016546870894E-2</c:v>
                </c:pt>
                <c:pt idx="6">
                  <c:v>3.8356875874951291E-2</c:v>
                </c:pt>
                <c:pt idx="7">
                  <c:v>4.2251227259431978E-2</c:v>
                </c:pt>
                <c:pt idx="8">
                  <c:v>5.3789100283439639E-2</c:v>
                </c:pt>
                <c:pt idx="9">
                  <c:v>5.6945771819105762E-2</c:v>
                </c:pt>
                <c:pt idx="10">
                  <c:v>6.2735323517703279E-2</c:v>
                </c:pt>
                <c:pt idx="11">
                  <c:v>6.1004857721955075E-2</c:v>
                </c:pt>
                <c:pt idx="12">
                  <c:v>6.7349562223199433E-2</c:v>
                </c:pt>
                <c:pt idx="13">
                  <c:v>8.6117781263324034E-2</c:v>
                </c:pt>
                <c:pt idx="14">
                  <c:v>0.10638068444460624</c:v>
                </c:pt>
                <c:pt idx="15">
                  <c:v>0.10087412263279694</c:v>
                </c:pt>
                <c:pt idx="16">
                  <c:v>8.7967113368101701E-2</c:v>
                </c:pt>
                <c:pt idx="17">
                  <c:v>7.2712945257926931E-2</c:v>
                </c:pt>
                <c:pt idx="18">
                  <c:v>6.7294361020555638E-2</c:v>
                </c:pt>
                <c:pt idx="19">
                  <c:v>6.2791849331883975E-2</c:v>
                </c:pt>
                <c:pt idx="20">
                  <c:v>7.167827675606353E-2</c:v>
                </c:pt>
                <c:pt idx="21">
                  <c:v>8.1985072808614667E-2</c:v>
                </c:pt>
                <c:pt idx="22">
                  <c:v>7.642868653941215E-2</c:v>
                </c:pt>
                <c:pt idx="23">
                  <c:v>7.5566726344343138E-2</c:v>
                </c:pt>
                <c:pt idx="24">
                  <c:v>6.9969734969717479E-2</c:v>
                </c:pt>
              </c:numCache>
            </c:numRef>
          </c:val>
          <c:smooth val="0"/>
          <c:extLst>
            <c:ext xmlns:c16="http://schemas.microsoft.com/office/drawing/2014/chart" uri="{C3380CC4-5D6E-409C-BE32-E72D297353CC}">
              <c16:uniqueId val="{00000005-5095-463B-8DA5-A5A40A91FE68}"/>
            </c:ext>
          </c:extLst>
        </c:ser>
        <c:dLbls>
          <c:showLegendKey val="0"/>
          <c:showVal val="0"/>
          <c:showCatName val="0"/>
          <c:showSerName val="0"/>
          <c:showPercent val="0"/>
          <c:showBubbleSize val="0"/>
        </c:dLbls>
        <c:smooth val="0"/>
        <c:axId val="746436624"/>
        <c:axId val="746437608"/>
      </c:lineChart>
      <c:catAx>
        <c:axId val="746436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7608"/>
        <c:crosses val="autoZero"/>
        <c:auto val="1"/>
        <c:lblAlgn val="ctr"/>
        <c:lblOffset val="100"/>
        <c:noMultiLvlLbl val="0"/>
      </c:catAx>
      <c:valAx>
        <c:axId val="746437608"/>
        <c:scaling>
          <c:orientation val="minMax"/>
          <c:max val="0.1200000000000000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6624"/>
        <c:crosses val="autoZero"/>
        <c:crossBetween val="between"/>
        <c:majorUnit val="2.0000000000000004E-2"/>
      </c:valAx>
      <c:spPr>
        <a:noFill/>
        <a:ln>
          <a:noFill/>
        </a:ln>
        <a:effectLst/>
      </c:spPr>
    </c:plotArea>
    <c:legend>
      <c:legendPos val="b"/>
      <c:layout>
        <c:manualLayout>
          <c:xMode val="edge"/>
          <c:yMode val="edge"/>
          <c:x val="2.0001809173903358E-3"/>
          <c:y val="0.86678675213675205"/>
          <c:w val="0.99799981908260971"/>
          <c:h val="0.1038393162393162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US" sz="800" b="1"/>
              <a:t>Figura 6. </a:t>
            </a:r>
            <a:r>
              <a:rPr lang="en-US" sz="800"/>
              <a:t>Inflación mercancías, alimenticias y no alimenticias, tasa anual</a:t>
            </a:r>
          </a:p>
        </c:rich>
      </c:tx>
      <c:layout>
        <c:manualLayout>
          <c:xMode val="edge"/>
          <c:yMode val="edge"/>
          <c:x val="0.1268664092778869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autoTitleDeleted val="0"/>
    <c:plotArea>
      <c:layout>
        <c:manualLayout>
          <c:layoutTarget val="inner"/>
          <c:xMode val="edge"/>
          <c:yMode val="edge"/>
          <c:x val="8.1381055541724104E-2"/>
          <c:y val="6.7314643438494484E-2"/>
          <c:w val="0.85802358117222133"/>
          <c:h val="0.59164298641097279"/>
        </c:manualLayout>
      </c:layout>
      <c:lineChart>
        <c:grouping val="standard"/>
        <c:varyColors val="0"/>
        <c:ser>
          <c:idx val="0"/>
          <c:order val="0"/>
          <c:tx>
            <c:strRef>
              <c:f>Anual!$E$1</c:f>
              <c:strCache>
                <c:ptCount val="1"/>
                <c:pt idx="0">
                  <c:v>Mercancías</c:v>
                </c:pt>
              </c:strCache>
            </c:strRef>
          </c:tx>
          <c:spPr>
            <a:ln w="28575" cap="rnd">
              <a:solidFill>
                <a:srgbClr val="17365D"/>
              </a:solidFill>
              <a:round/>
            </a:ln>
            <a:effectLst/>
          </c:spPr>
          <c:marker>
            <c:symbol val="none"/>
          </c:marker>
          <c:dLbls>
            <c:dLbl>
              <c:idx val="24"/>
              <c:layout>
                <c:manualLayout>
                  <c:x val="0"/>
                  <c:y val="-7.200036250448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98-4E5F-94BE-6741699CAB01}"/>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Anual!$E$864:$E$888</c:f>
              <c:numCache>
                <c:formatCode>0.00%</c:formatCode>
                <c:ptCount val="25"/>
                <c:pt idx="0">
                  <c:v>5.0192014157899756E-2</c:v>
                </c:pt>
                <c:pt idx="1">
                  <c:v>4.7564134865514252E-2</c:v>
                </c:pt>
                <c:pt idx="2">
                  <c:v>4.4494966506394285E-2</c:v>
                </c:pt>
                <c:pt idx="3">
                  <c:v>4.2849623899091416E-2</c:v>
                </c:pt>
                <c:pt idx="4">
                  <c:v>4.0932810935759401E-2</c:v>
                </c:pt>
                <c:pt idx="5">
                  <c:v>4.124567849534122E-2</c:v>
                </c:pt>
                <c:pt idx="6">
                  <c:v>3.9629106768237943E-2</c:v>
                </c:pt>
                <c:pt idx="7">
                  <c:v>3.7951573560813134E-2</c:v>
                </c:pt>
                <c:pt idx="8">
                  <c:v>3.7209878430137566E-2</c:v>
                </c:pt>
                <c:pt idx="9">
                  <c:v>3.6236069305799035E-2</c:v>
                </c:pt>
                <c:pt idx="10">
                  <c:v>3.5545771217909028E-2</c:v>
                </c:pt>
                <c:pt idx="11">
                  <c:v>3.2137779002468392E-2</c:v>
                </c:pt>
                <c:pt idx="12">
                  <c:v>3.3269564013939101E-2</c:v>
                </c:pt>
                <c:pt idx="13">
                  <c:v>3.2381394087712234E-2</c:v>
                </c:pt>
                <c:pt idx="14">
                  <c:v>3.0770835855920886E-2</c:v>
                </c:pt>
                <c:pt idx="15">
                  <c:v>3.0958658232647984E-2</c:v>
                </c:pt>
                <c:pt idx="16">
                  <c:v>3.0714778038076762E-2</c:v>
                </c:pt>
                <c:pt idx="17">
                  <c:v>2.9697906848592082E-2</c:v>
                </c:pt>
                <c:pt idx="18">
                  <c:v>2.9351207054955086E-2</c:v>
                </c:pt>
                <c:pt idx="19">
                  <c:v>2.8971217788174464E-2</c:v>
                </c:pt>
                <c:pt idx="20">
                  <c:v>2.8896105102626857E-2</c:v>
                </c:pt>
                <c:pt idx="21">
                  <c:v>2.7345404824843378E-2</c:v>
                </c:pt>
                <c:pt idx="22">
                  <c:v>2.4599201589708963E-2</c:v>
                </c:pt>
                <c:pt idx="23">
                  <c:v>2.3243468043511628E-2</c:v>
                </c:pt>
                <c:pt idx="24">
                  <c:v>2.4439993547512584E-2</c:v>
                </c:pt>
              </c:numCache>
            </c:numRef>
          </c:val>
          <c:smooth val="0"/>
          <c:extLst>
            <c:ext xmlns:c16="http://schemas.microsoft.com/office/drawing/2014/chart" uri="{C3380CC4-5D6E-409C-BE32-E72D297353CC}">
              <c16:uniqueId val="{00000001-FC98-4E5F-94BE-6741699CAB01}"/>
            </c:ext>
          </c:extLst>
        </c:ser>
        <c:ser>
          <c:idx val="1"/>
          <c:order val="1"/>
          <c:tx>
            <c:strRef>
              <c:f>Anual!$F$1</c:f>
              <c:strCache>
                <c:ptCount val="1"/>
                <c:pt idx="0">
                  <c:v>Alimenticias</c:v>
                </c:pt>
              </c:strCache>
            </c:strRef>
          </c:tx>
          <c:spPr>
            <a:ln w="28575" cap="rnd">
              <a:solidFill>
                <a:srgbClr val="B4C7E7"/>
              </a:solidFill>
              <a:round/>
            </a:ln>
            <a:effectLst/>
          </c:spPr>
          <c:marker>
            <c:symbol val="none"/>
          </c:marker>
          <c:dLbls>
            <c:dLbl>
              <c:idx val="24"/>
              <c:layout>
                <c:manualLayout>
                  <c:x val="0"/>
                  <c:y val="-9.45885748345201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98-4E5F-94BE-6741699CAB01}"/>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Anual!$F$864:$F$888</c:f>
              <c:numCache>
                <c:formatCode>0.00%</c:formatCode>
                <c:ptCount val="25"/>
                <c:pt idx="0">
                  <c:v>6.4554786128763642E-2</c:v>
                </c:pt>
                <c:pt idx="1">
                  <c:v>6.0462116911802699E-2</c:v>
                </c:pt>
                <c:pt idx="2">
                  <c:v>5.6290798399389885E-2</c:v>
                </c:pt>
                <c:pt idx="3">
                  <c:v>5.4513579540514945E-2</c:v>
                </c:pt>
                <c:pt idx="4">
                  <c:v>5.280336931025853E-2</c:v>
                </c:pt>
                <c:pt idx="5">
                  <c:v>5.2199166224357496E-2</c:v>
                </c:pt>
                <c:pt idx="6">
                  <c:v>5.0849581160522739E-2</c:v>
                </c:pt>
                <c:pt idx="7">
                  <c:v>4.9359055641717164E-2</c:v>
                </c:pt>
                <c:pt idx="8">
                  <c:v>4.8459430457399311E-2</c:v>
                </c:pt>
                <c:pt idx="9">
                  <c:v>4.7250895349114641E-2</c:v>
                </c:pt>
                <c:pt idx="10">
                  <c:v>4.6137504963162268E-2</c:v>
                </c:pt>
                <c:pt idx="11">
                  <c:v>4.3761043621292295E-2</c:v>
                </c:pt>
                <c:pt idx="12">
                  <c:v>4.2804743051516159E-2</c:v>
                </c:pt>
                <c:pt idx="13">
                  <c:v>4.1534589217047335E-2</c:v>
                </c:pt>
                <c:pt idx="14">
                  <c:v>4.0253829246396977E-2</c:v>
                </c:pt>
                <c:pt idx="15">
                  <c:v>4.0412726153977285E-2</c:v>
                </c:pt>
                <c:pt idx="16">
                  <c:v>4.1391237999377051E-2</c:v>
                </c:pt>
                <c:pt idx="17">
                  <c:v>4.1259455220935326E-2</c:v>
                </c:pt>
                <c:pt idx="18">
                  <c:v>3.9503454475039446E-2</c:v>
                </c:pt>
                <c:pt idx="19">
                  <c:v>3.8806248156225465E-2</c:v>
                </c:pt>
                <c:pt idx="20">
                  <c:v>3.8298664723379616E-2</c:v>
                </c:pt>
                <c:pt idx="21">
                  <c:v>3.7864509127140566E-2</c:v>
                </c:pt>
                <c:pt idx="22">
                  <c:v>3.6495630855117867E-2</c:v>
                </c:pt>
                <c:pt idx="23">
                  <c:v>3.4664260523857404E-2</c:v>
                </c:pt>
                <c:pt idx="24">
                  <c:v>3.5856069892228115E-2</c:v>
                </c:pt>
              </c:numCache>
            </c:numRef>
          </c:val>
          <c:smooth val="0"/>
          <c:extLst>
            <c:ext xmlns:c16="http://schemas.microsoft.com/office/drawing/2014/chart" uri="{C3380CC4-5D6E-409C-BE32-E72D297353CC}">
              <c16:uniqueId val="{00000003-FC98-4E5F-94BE-6741699CAB01}"/>
            </c:ext>
          </c:extLst>
        </c:ser>
        <c:ser>
          <c:idx val="2"/>
          <c:order val="2"/>
          <c:tx>
            <c:strRef>
              <c:f>Anual!$G$1</c:f>
              <c:strCache>
                <c:ptCount val="1"/>
                <c:pt idx="0">
                  <c:v>No alimenticias</c:v>
                </c:pt>
              </c:strCache>
            </c:strRef>
          </c:tx>
          <c:spPr>
            <a:ln w="28575" cap="rnd">
              <a:solidFill>
                <a:srgbClr val="FFC000"/>
              </a:solidFill>
              <a:round/>
            </a:ln>
            <a:effectLst/>
          </c:spPr>
          <c:marker>
            <c:symbol val="none"/>
          </c:marker>
          <c:dLbls>
            <c:dLbl>
              <c:idx val="24"/>
              <c:layout>
                <c:manualLayout>
                  <c:x val="0"/>
                  <c:y val="-6.3115168372877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98-4E5F-94BE-6741699CAB01}"/>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Anual!$G$864:$G$888</c:f>
              <c:numCache>
                <c:formatCode>0.00%</c:formatCode>
                <c:ptCount val="25"/>
                <c:pt idx="0">
                  <c:v>3.3250151164800235E-2</c:v>
                </c:pt>
                <c:pt idx="1">
                  <c:v>3.2290768064551889E-2</c:v>
                </c:pt>
                <c:pt idx="2">
                  <c:v>3.0467768312459231E-2</c:v>
                </c:pt>
                <c:pt idx="3">
                  <c:v>2.8945804871516989E-2</c:v>
                </c:pt>
                <c:pt idx="4">
                  <c:v>2.6801215688237789E-2</c:v>
                </c:pt>
                <c:pt idx="5">
                  <c:v>2.8186478946176985E-2</c:v>
                </c:pt>
                <c:pt idx="6">
                  <c:v>2.6242249119909244E-2</c:v>
                </c:pt>
                <c:pt idx="7">
                  <c:v>2.4332726628721657E-2</c:v>
                </c:pt>
                <c:pt idx="8">
                  <c:v>2.3780657158936513E-2</c:v>
                </c:pt>
                <c:pt idx="9">
                  <c:v>2.3071626633389464E-2</c:v>
                </c:pt>
                <c:pt idx="10">
                  <c:v>2.2852416458878144E-2</c:v>
                </c:pt>
                <c:pt idx="11">
                  <c:v>1.81949855118404E-2</c:v>
                </c:pt>
                <c:pt idx="12">
                  <c:v>2.1804706763989046E-2</c:v>
                </c:pt>
                <c:pt idx="13">
                  <c:v>2.1371233019804148E-2</c:v>
                </c:pt>
                <c:pt idx="14">
                  <c:v>1.9355709597020043E-2</c:v>
                </c:pt>
                <c:pt idx="15">
                  <c:v>1.9564605690579384E-2</c:v>
                </c:pt>
                <c:pt idx="16">
                  <c:v>1.8009537376650231E-2</c:v>
                </c:pt>
                <c:pt idx="17">
                  <c:v>1.6219078567859091E-2</c:v>
                </c:pt>
                <c:pt idx="18">
                  <c:v>1.6865994229517511E-2</c:v>
                </c:pt>
                <c:pt idx="19">
                  <c:v>1.6891988422843118E-2</c:v>
                </c:pt>
                <c:pt idx="20">
                  <c:v>1.7431773944508455E-2</c:v>
                </c:pt>
                <c:pt idx="21">
                  <c:v>1.5120447880857979E-2</c:v>
                </c:pt>
                <c:pt idx="22">
                  <c:v>1.1743339926083118E-2</c:v>
                </c:pt>
                <c:pt idx="23">
                  <c:v>1.2085324992674673E-2</c:v>
                </c:pt>
                <c:pt idx="24">
                  <c:v>1.2804134858834137E-2</c:v>
                </c:pt>
              </c:numCache>
            </c:numRef>
          </c:val>
          <c:smooth val="0"/>
          <c:extLst>
            <c:ext xmlns:c16="http://schemas.microsoft.com/office/drawing/2014/chart" uri="{C3380CC4-5D6E-409C-BE32-E72D297353CC}">
              <c16:uniqueId val="{00000005-FC98-4E5F-94BE-6741699CAB01}"/>
            </c:ext>
          </c:extLst>
        </c:ser>
        <c:dLbls>
          <c:showLegendKey val="0"/>
          <c:showVal val="0"/>
          <c:showCatName val="0"/>
          <c:showSerName val="0"/>
          <c:showPercent val="0"/>
          <c:showBubbleSize val="0"/>
        </c:dLbls>
        <c:smooth val="0"/>
        <c:axId val="746436624"/>
        <c:axId val="746437608"/>
      </c:lineChart>
      <c:catAx>
        <c:axId val="746436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7608"/>
        <c:crosses val="autoZero"/>
        <c:auto val="1"/>
        <c:lblAlgn val="ctr"/>
        <c:lblOffset val="100"/>
        <c:noMultiLvlLbl val="0"/>
      </c:catAx>
      <c:valAx>
        <c:axId val="746437608"/>
        <c:scaling>
          <c:orientation val="minMax"/>
          <c:max val="7.0000000000000007E-2"/>
          <c:min val="1.0000000000000002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6624"/>
        <c:crosses val="autoZero"/>
        <c:crossBetween val="between"/>
        <c:majorUnit val="1.0000000000000002E-2"/>
      </c:valAx>
      <c:spPr>
        <a:noFill/>
        <a:ln>
          <a:noFill/>
        </a:ln>
        <a:effectLst/>
      </c:spPr>
    </c:plotArea>
    <c:legend>
      <c:legendPos val="b"/>
      <c:layout>
        <c:manualLayout>
          <c:xMode val="edge"/>
          <c:yMode val="edge"/>
          <c:x val="2.0001809173903358E-3"/>
          <c:y val="0.87120705803911613"/>
          <c:w val="0.99799981908260971"/>
          <c:h val="8.8989077978155959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US" sz="800" b="1"/>
              <a:t>Figura 7. </a:t>
            </a:r>
            <a:r>
              <a:rPr lang="en-US" sz="800"/>
              <a:t>Inflación servicios, vivienda, educación y otros servicios, tasa anual</a:t>
            </a:r>
          </a:p>
        </c:rich>
      </c:tx>
      <c:layout>
        <c:manualLayout>
          <c:xMode val="edge"/>
          <c:yMode val="edge"/>
          <c:x val="0.1924751449684167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autoTitleDeleted val="0"/>
    <c:plotArea>
      <c:layout>
        <c:manualLayout>
          <c:layoutTarget val="inner"/>
          <c:xMode val="edge"/>
          <c:yMode val="edge"/>
          <c:x val="8.7529664191182591E-2"/>
          <c:y val="0.13472074074074075"/>
          <c:w val="0.77169143692139786"/>
          <c:h val="0.50829767146784632"/>
        </c:manualLayout>
      </c:layout>
      <c:lineChart>
        <c:grouping val="standard"/>
        <c:varyColors val="0"/>
        <c:ser>
          <c:idx val="0"/>
          <c:order val="0"/>
          <c:tx>
            <c:strRef>
              <c:f>Anual!$H$1</c:f>
              <c:strCache>
                <c:ptCount val="1"/>
                <c:pt idx="0">
                  <c:v>Servicios</c:v>
                </c:pt>
              </c:strCache>
            </c:strRef>
          </c:tx>
          <c:spPr>
            <a:ln w="28575" cap="rnd">
              <a:solidFill>
                <a:srgbClr val="17365D"/>
              </a:solidFill>
              <a:round/>
            </a:ln>
            <a:effectLst/>
          </c:spPr>
          <c:marker>
            <c:symbol val="none"/>
          </c:marker>
          <c:dLbls>
            <c:dLbl>
              <c:idx val="24"/>
              <c:layout>
                <c:manualLayout>
                  <c:x val="4.69806135333878E-3"/>
                  <c:y val="1.5678098935758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F0-4011-9E95-E490B49F3A1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Anual!$H$864:$H$888</c:f>
              <c:numCache>
                <c:formatCode>0.00%</c:formatCode>
                <c:ptCount val="25"/>
                <c:pt idx="0">
                  <c:v>5.4037992328210604E-2</c:v>
                </c:pt>
                <c:pt idx="1">
                  <c:v>5.2577745825227895E-2</c:v>
                </c:pt>
                <c:pt idx="2">
                  <c:v>5.1881194018285948E-2</c:v>
                </c:pt>
                <c:pt idx="3">
                  <c:v>5.3093123543088705E-2</c:v>
                </c:pt>
                <c:pt idx="4">
                  <c:v>5.283621861595833E-2</c:v>
                </c:pt>
                <c:pt idx="5">
                  <c:v>5.3067971192926278E-2</c:v>
                </c:pt>
                <c:pt idx="6">
                  <c:v>5.5722644286861689E-2</c:v>
                </c:pt>
                <c:pt idx="7">
                  <c:v>5.1666158929592809E-2</c:v>
                </c:pt>
                <c:pt idx="8">
                  <c:v>5.2069402671125253E-2</c:v>
                </c:pt>
                <c:pt idx="9">
                  <c:v>5.2177668710607694E-2</c:v>
                </c:pt>
                <c:pt idx="10">
                  <c:v>5.2316768370696654E-2</c:v>
                </c:pt>
                <c:pt idx="11">
                  <c:v>5.2051062536325521E-2</c:v>
                </c:pt>
                <c:pt idx="12">
                  <c:v>5.1920083566445951E-2</c:v>
                </c:pt>
                <c:pt idx="13">
                  <c:v>5.1172107886390261E-2</c:v>
                </c:pt>
                <c:pt idx="14">
                  <c:v>5.166556300918379E-2</c:v>
                </c:pt>
                <c:pt idx="15">
                  <c:v>5.2712651828395352E-2</c:v>
                </c:pt>
                <c:pt idx="16">
                  <c:v>5.1056943641960562E-2</c:v>
                </c:pt>
                <c:pt idx="17">
                  <c:v>5.2552797407680263E-2</c:v>
                </c:pt>
                <c:pt idx="18">
                  <c:v>5.1527375345580273E-2</c:v>
                </c:pt>
                <c:pt idx="19">
                  <c:v>5.0534097231051955E-2</c:v>
                </c:pt>
                <c:pt idx="20">
                  <c:v>5.0330125652129132E-2</c:v>
                </c:pt>
                <c:pt idx="21">
                  <c:v>4.917587041331406E-2</c:v>
                </c:pt>
                <c:pt idx="22">
                  <c:v>4.8548407414434891E-2</c:v>
                </c:pt>
                <c:pt idx="23">
                  <c:v>4.9531746946999577E-2</c:v>
                </c:pt>
                <c:pt idx="24">
                  <c:v>4.8788018602845762E-2</c:v>
                </c:pt>
              </c:numCache>
            </c:numRef>
          </c:val>
          <c:smooth val="0"/>
          <c:extLst>
            <c:ext xmlns:c16="http://schemas.microsoft.com/office/drawing/2014/chart" uri="{C3380CC4-5D6E-409C-BE32-E72D297353CC}">
              <c16:uniqueId val="{00000001-63F0-4011-9E95-E490B49F3A14}"/>
            </c:ext>
          </c:extLst>
        </c:ser>
        <c:ser>
          <c:idx val="1"/>
          <c:order val="1"/>
          <c:tx>
            <c:strRef>
              <c:f>Anual!$I$1</c:f>
              <c:strCache>
                <c:ptCount val="1"/>
                <c:pt idx="0">
                  <c:v>Vivienda</c:v>
                </c:pt>
              </c:strCache>
            </c:strRef>
          </c:tx>
          <c:spPr>
            <a:ln w="28575" cap="rnd">
              <a:solidFill>
                <a:srgbClr val="B4C7E7"/>
              </a:solidFill>
              <a:round/>
            </a:ln>
            <a:effectLst/>
          </c:spPr>
          <c:marker>
            <c:symbol val="none"/>
          </c:marker>
          <c:dLbls>
            <c:dLbl>
              <c:idx val="24"/>
              <c:layout>
                <c:manualLayout>
                  <c:x val="4.69806135333878E-3"/>
                  <c:y val="-4.936632663724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F0-4011-9E95-E490B49F3A1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Anual!$I$864:$I$888</c:f>
              <c:numCache>
                <c:formatCode>0.00%</c:formatCode>
                <c:ptCount val="25"/>
                <c:pt idx="0">
                  <c:v>3.6612807058840069E-2</c:v>
                </c:pt>
                <c:pt idx="1">
                  <c:v>3.6270615794294025E-2</c:v>
                </c:pt>
                <c:pt idx="2">
                  <c:v>3.6232320752068725E-2</c:v>
                </c:pt>
                <c:pt idx="3">
                  <c:v>3.6625981517060646E-2</c:v>
                </c:pt>
                <c:pt idx="4">
                  <c:v>3.7354858409662128E-2</c:v>
                </c:pt>
                <c:pt idx="5">
                  <c:v>3.7267246057008707E-2</c:v>
                </c:pt>
                <c:pt idx="6">
                  <c:v>3.8105486152039125E-2</c:v>
                </c:pt>
                <c:pt idx="7">
                  <c:v>3.7564169400925218E-2</c:v>
                </c:pt>
                <c:pt idx="8">
                  <c:v>3.7341266102735471E-2</c:v>
                </c:pt>
                <c:pt idx="9">
                  <c:v>3.7192046234703513E-2</c:v>
                </c:pt>
                <c:pt idx="10">
                  <c:v>3.8002706406390585E-2</c:v>
                </c:pt>
                <c:pt idx="11">
                  <c:v>3.8276096409493254E-2</c:v>
                </c:pt>
                <c:pt idx="12">
                  <c:v>3.858165848020545E-2</c:v>
                </c:pt>
                <c:pt idx="13">
                  <c:v>3.8801140600357886E-2</c:v>
                </c:pt>
                <c:pt idx="14">
                  <c:v>3.956543388271716E-2</c:v>
                </c:pt>
                <c:pt idx="15">
                  <c:v>3.9665513318146273E-2</c:v>
                </c:pt>
                <c:pt idx="16">
                  <c:v>3.9832821917906269E-2</c:v>
                </c:pt>
                <c:pt idx="17">
                  <c:v>4.0167978977617702E-2</c:v>
                </c:pt>
                <c:pt idx="18">
                  <c:v>4.0773921822038428E-2</c:v>
                </c:pt>
                <c:pt idx="19">
                  <c:v>4.0262496241090462E-2</c:v>
                </c:pt>
                <c:pt idx="20">
                  <c:v>3.9984323216427642E-2</c:v>
                </c:pt>
                <c:pt idx="21">
                  <c:v>3.9721908263131489E-2</c:v>
                </c:pt>
                <c:pt idx="22">
                  <c:v>3.9579292416481504E-2</c:v>
                </c:pt>
                <c:pt idx="23">
                  <c:v>3.9572637369986952E-2</c:v>
                </c:pt>
                <c:pt idx="24">
                  <c:v>4.0040832631903722E-2</c:v>
                </c:pt>
              </c:numCache>
            </c:numRef>
          </c:val>
          <c:smooth val="0"/>
          <c:extLst>
            <c:ext xmlns:c16="http://schemas.microsoft.com/office/drawing/2014/chart" uri="{C3380CC4-5D6E-409C-BE32-E72D297353CC}">
              <c16:uniqueId val="{00000003-63F0-4011-9E95-E490B49F3A14}"/>
            </c:ext>
          </c:extLst>
        </c:ser>
        <c:ser>
          <c:idx val="2"/>
          <c:order val="2"/>
          <c:tx>
            <c:strRef>
              <c:f>Anual!$J$1</c:f>
              <c:strCache>
                <c:ptCount val="1"/>
                <c:pt idx="0">
                  <c:v>Educación</c:v>
                </c:pt>
              </c:strCache>
            </c:strRef>
          </c:tx>
          <c:spPr>
            <a:ln w="28575" cap="rnd">
              <a:solidFill>
                <a:srgbClr val="FFC000"/>
              </a:solidFill>
              <a:round/>
            </a:ln>
            <a:effectLst/>
          </c:spPr>
          <c:marker>
            <c:symbol val="none"/>
          </c:marker>
          <c:dLbls>
            <c:dLbl>
              <c:idx val="24"/>
              <c:layout>
                <c:manualLayout>
                  <c:x val="2.091448444032877E-3"/>
                  <c:y val="-6.494945119437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F0-4011-9E95-E490B49F3A1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Anual!$J$864:$J$888</c:f>
              <c:numCache>
                <c:formatCode>0.00%</c:formatCode>
                <c:ptCount val="25"/>
                <c:pt idx="0">
                  <c:v>6.5997758088817138E-2</c:v>
                </c:pt>
                <c:pt idx="1">
                  <c:v>6.5997758088817138E-2</c:v>
                </c:pt>
                <c:pt idx="2">
                  <c:v>6.5104642071718288E-2</c:v>
                </c:pt>
                <c:pt idx="3">
                  <c:v>6.7499002281687259E-2</c:v>
                </c:pt>
                <c:pt idx="4">
                  <c:v>6.4262690667316269E-2</c:v>
                </c:pt>
                <c:pt idx="5">
                  <c:v>6.3586671773773418E-2</c:v>
                </c:pt>
                <c:pt idx="6">
                  <c:v>6.3586671773773418E-2</c:v>
                </c:pt>
                <c:pt idx="7">
                  <c:v>6.3586671773773418E-2</c:v>
                </c:pt>
                <c:pt idx="8">
                  <c:v>6.3586671773773418E-2</c:v>
                </c:pt>
                <c:pt idx="9">
                  <c:v>6.3586671773773418E-2</c:v>
                </c:pt>
                <c:pt idx="10">
                  <c:v>6.3278387435687478E-2</c:v>
                </c:pt>
                <c:pt idx="11">
                  <c:v>6.3608943626491943E-2</c:v>
                </c:pt>
                <c:pt idx="12">
                  <c:v>6.3592638418129122E-2</c:v>
                </c:pt>
                <c:pt idx="13">
                  <c:v>6.3411215827454681E-2</c:v>
                </c:pt>
                <c:pt idx="14">
                  <c:v>6.3036766582506454E-2</c:v>
                </c:pt>
                <c:pt idx="15">
                  <c:v>6.4231283904802483E-2</c:v>
                </c:pt>
                <c:pt idx="16">
                  <c:v>6.139555073282521E-2</c:v>
                </c:pt>
                <c:pt idx="17">
                  <c:v>6.0480434815832096E-2</c:v>
                </c:pt>
                <c:pt idx="18">
                  <c:v>5.7830326634996654E-2</c:v>
                </c:pt>
                <c:pt idx="19">
                  <c:v>5.7913828330725448E-2</c:v>
                </c:pt>
                <c:pt idx="20">
                  <c:v>5.7913828330725448E-2</c:v>
                </c:pt>
                <c:pt idx="21">
                  <c:v>5.7913828330725448E-2</c:v>
                </c:pt>
                <c:pt idx="22">
                  <c:v>5.7913829483556389E-2</c:v>
                </c:pt>
                <c:pt idx="23">
                  <c:v>5.7913829483556389E-2</c:v>
                </c:pt>
                <c:pt idx="24">
                  <c:v>5.7913829483556389E-2</c:v>
                </c:pt>
              </c:numCache>
            </c:numRef>
          </c:val>
          <c:smooth val="0"/>
          <c:extLst>
            <c:ext xmlns:c16="http://schemas.microsoft.com/office/drawing/2014/chart" uri="{C3380CC4-5D6E-409C-BE32-E72D297353CC}">
              <c16:uniqueId val="{00000005-63F0-4011-9E95-E490B49F3A14}"/>
            </c:ext>
          </c:extLst>
        </c:ser>
        <c:ser>
          <c:idx val="3"/>
          <c:order val="3"/>
          <c:tx>
            <c:strRef>
              <c:f>Anual!$K$1</c:f>
              <c:strCache>
                <c:ptCount val="1"/>
                <c:pt idx="0">
                  <c:v>Otros servicios</c:v>
                </c:pt>
              </c:strCache>
            </c:strRef>
          </c:tx>
          <c:spPr>
            <a:ln w="28575" cap="rnd">
              <a:solidFill>
                <a:schemeClr val="bg2">
                  <a:lumMod val="75000"/>
                </a:schemeClr>
              </a:solidFill>
              <a:round/>
            </a:ln>
            <a:effectLst/>
          </c:spPr>
          <c:marker>
            <c:symbol val="none"/>
          </c:marker>
          <c:dLbls>
            <c:dLbl>
              <c:idx val="24"/>
              <c:layout>
                <c:manualLayout>
                  <c:x val="2.091448444032877E-3"/>
                  <c:y val="3.4916753418245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F0-4011-9E95-E490B49F3A1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Anual!$K$864:$K$888</c:f>
              <c:numCache>
                <c:formatCode>0.00%</c:formatCode>
                <c:ptCount val="25"/>
                <c:pt idx="0">
                  <c:v>6.593771101374335E-2</c:v>
                </c:pt>
                <c:pt idx="1">
                  <c:v>6.3297337039335266E-2</c:v>
                </c:pt>
                <c:pt idx="2">
                  <c:v>6.2097699443260712E-2</c:v>
                </c:pt>
                <c:pt idx="3">
                  <c:v>6.370965339562118E-2</c:v>
                </c:pt>
                <c:pt idx="4">
                  <c:v>6.3212194060377147E-2</c:v>
                </c:pt>
                <c:pt idx="5">
                  <c:v>6.3894178856214623E-2</c:v>
                </c:pt>
                <c:pt idx="6">
                  <c:v>6.8519003971276193E-2</c:v>
                </c:pt>
                <c:pt idx="7">
                  <c:v>6.0746679743142851E-2</c:v>
                </c:pt>
                <c:pt idx="8">
                  <c:v>6.1768512622810468E-2</c:v>
                </c:pt>
                <c:pt idx="9">
                  <c:v>6.2122556193924927E-2</c:v>
                </c:pt>
                <c:pt idx="10">
                  <c:v>6.1797690378120107E-2</c:v>
                </c:pt>
                <c:pt idx="11">
                  <c:v>6.0976345588181102E-2</c:v>
                </c:pt>
                <c:pt idx="12">
                  <c:v>6.0469409732082147E-2</c:v>
                </c:pt>
                <c:pt idx="13">
                  <c:v>5.8809495101798337E-2</c:v>
                </c:pt>
                <c:pt idx="14">
                  <c:v>5.922585237241762E-2</c:v>
                </c:pt>
                <c:pt idx="15">
                  <c:v>6.1014178309740652E-2</c:v>
                </c:pt>
                <c:pt idx="16">
                  <c:v>5.8695266889388531E-2</c:v>
                </c:pt>
                <c:pt idx="17">
                  <c:v>6.185225943860817E-2</c:v>
                </c:pt>
                <c:pt idx="18">
                  <c:v>6.1570632137265324E-2</c:v>
                </c:pt>
                <c:pt idx="19">
                  <c:v>5.9803679084905248E-2</c:v>
                </c:pt>
                <c:pt idx="20">
                  <c:v>5.9643542278980055E-2</c:v>
                </c:pt>
                <c:pt idx="21">
                  <c:v>5.7456406994703668E-2</c:v>
                </c:pt>
                <c:pt idx="22">
                  <c:v>5.6264490521610977E-2</c:v>
                </c:pt>
                <c:pt idx="23">
                  <c:v>5.8249723363448025E-2</c:v>
                </c:pt>
                <c:pt idx="24">
                  <c:v>5.6713339623686965E-2</c:v>
                </c:pt>
              </c:numCache>
            </c:numRef>
          </c:val>
          <c:smooth val="0"/>
          <c:extLst>
            <c:ext xmlns:c16="http://schemas.microsoft.com/office/drawing/2014/chart" uri="{C3380CC4-5D6E-409C-BE32-E72D297353CC}">
              <c16:uniqueId val="{00000007-63F0-4011-9E95-E490B49F3A14}"/>
            </c:ext>
          </c:extLst>
        </c:ser>
        <c:dLbls>
          <c:showLegendKey val="0"/>
          <c:showVal val="0"/>
          <c:showCatName val="0"/>
          <c:showSerName val="0"/>
          <c:showPercent val="0"/>
          <c:showBubbleSize val="0"/>
        </c:dLbls>
        <c:smooth val="0"/>
        <c:axId val="746436624"/>
        <c:axId val="746437608"/>
      </c:lineChart>
      <c:catAx>
        <c:axId val="746436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7608"/>
        <c:crosses val="autoZero"/>
        <c:auto val="1"/>
        <c:lblAlgn val="ctr"/>
        <c:lblOffset val="100"/>
        <c:noMultiLvlLbl val="0"/>
      </c:catAx>
      <c:valAx>
        <c:axId val="746437608"/>
        <c:scaling>
          <c:orientation val="minMax"/>
          <c:max val="7.0000000000000007E-2"/>
          <c:min val="3.5000000000000003E-2"/>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436624"/>
        <c:crosses val="autoZero"/>
        <c:crossBetween val="between"/>
      </c:valAx>
      <c:spPr>
        <a:noFill/>
        <a:ln>
          <a:noFill/>
        </a:ln>
        <a:effectLst/>
      </c:spPr>
    </c:plotArea>
    <c:legend>
      <c:legendPos val="b"/>
      <c:layout>
        <c:manualLayout>
          <c:xMode val="edge"/>
          <c:yMode val="edge"/>
          <c:x val="2.0001989726726741E-3"/>
          <c:y val="0.87812646229162739"/>
          <c:w val="0.99799980102732733"/>
          <c:h val="9.876006620522545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r>
              <a:rPr lang="en-US" sz="800" b="1">
                <a:latin typeface="Leelawadee UI" panose="020B0502040204020203" pitchFamily="34" charset="-34"/>
                <a:cs typeface="Leelawadee UI" panose="020B0502040204020203" pitchFamily="34" charset="-34"/>
              </a:rPr>
              <a:t>Figura 8. </a:t>
            </a:r>
            <a:r>
              <a:rPr lang="en-US" sz="800">
                <a:latin typeface="Leelawadee UI" panose="020B0502040204020203" pitchFamily="34" charset="-34"/>
                <a:cs typeface="Leelawadee UI" panose="020B0502040204020203" pitchFamily="34" charset="-34"/>
              </a:rPr>
              <a:t>Inflación de agropecuarios, frutas y verduras, y pecuarios</a:t>
            </a:r>
            <a:r>
              <a:rPr lang="en-US" sz="800" baseline="0">
                <a:latin typeface="Leelawadee UI" panose="020B0502040204020203" pitchFamily="34" charset="-34"/>
                <a:cs typeface="Leelawadee UI" panose="020B0502040204020203" pitchFamily="34" charset="-34"/>
              </a:rPr>
              <a:t>, tasa anual</a:t>
            </a:r>
            <a:endParaRPr lang="en-US" sz="800">
              <a:latin typeface="Leelawadee UI" panose="020B0502040204020203" pitchFamily="34" charset="-34"/>
              <a:cs typeface="Leelawadee UI" panose="020B0502040204020203" pitchFamily="34" charset="-34"/>
            </a:endParaRPr>
          </a:p>
        </c:rich>
      </c:tx>
      <c:layout>
        <c:manualLayout>
          <c:xMode val="edge"/>
          <c:yMode val="edge"/>
          <c:x val="0.112605943687964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title>
    <c:autoTitleDeleted val="0"/>
    <c:plotArea>
      <c:layout>
        <c:manualLayout>
          <c:layoutTarget val="inner"/>
          <c:xMode val="edge"/>
          <c:yMode val="edge"/>
          <c:x val="0.10969618055555555"/>
          <c:y val="0.13373305081050915"/>
          <c:w val="0.70982624777749559"/>
          <c:h val="0.52434991744983495"/>
        </c:manualLayout>
      </c:layout>
      <c:lineChart>
        <c:grouping val="standard"/>
        <c:varyColors val="0"/>
        <c:ser>
          <c:idx val="0"/>
          <c:order val="0"/>
          <c:tx>
            <c:strRef>
              <c:f>Anual!$M$1</c:f>
              <c:strCache>
                <c:ptCount val="1"/>
                <c:pt idx="0">
                  <c:v>Agropecuarios</c:v>
                </c:pt>
              </c:strCache>
            </c:strRef>
          </c:tx>
          <c:spPr>
            <a:ln w="28575" cap="rnd">
              <a:solidFill>
                <a:srgbClr val="17365D"/>
              </a:solidFill>
              <a:round/>
            </a:ln>
            <a:effectLst/>
          </c:spPr>
          <c:marker>
            <c:symbol val="none"/>
          </c:marker>
          <c:dLbls>
            <c:dLbl>
              <c:idx val="24"/>
              <c:layout>
                <c:manualLayout>
                  <c:x val="3.0241935483870969E-2"/>
                  <c:y val="5.002024066548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34-4368-852C-A9F81F28CE4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Anual!$M$864:$M$888</c:f>
              <c:numCache>
                <c:formatCode>0.00%</c:formatCode>
                <c:ptCount val="25"/>
                <c:pt idx="0">
                  <c:v>3.801426511632866E-2</c:v>
                </c:pt>
                <c:pt idx="1">
                  <c:v>7.5166549783123093E-2</c:v>
                </c:pt>
                <c:pt idx="2">
                  <c:v>9.7325943166645779E-2</c:v>
                </c:pt>
                <c:pt idx="3">
                  <c:v>9.7725011507410864E-2</c:v>
                </c:pt>
                <c:pt idx="4">
                  <c:v>5.6943291328184653E-2</c:v>
                </c:pt>
                <c:pt idx="5">
                  <c:v>3.8550069403846976E-2</c:v>
                </c:pt>
                <c:pt idx="6">
                  <c:v>4.6937580182811356E-2</c:v>
                </c:pt>
                <c:pt idx="7">
                  <c:v>5.1423179203835101E-2</c:v>
                </c:pt>
                <c:pt idx="8">
                  <c:v>6.9825349352929944E-2</c:v>
                </c:pt>
                <c:pt idx="9">
                  <c:v>7.7197340293115424E-2</c:v>
                </c:pt>
                <c:pt idx="10">
                  <c:v>8.7532161176433476E-2</c:v>
                </c:pt>
                <c:pt idx="11">
                  <c:v>8.1199396425993386E-2</c:v>
                </c:pt>
                <c:pt idx="12">
                  <c:v>8.9922670109959579E-2</c:v>
                </c:pt>
                <c:pt idx="13">
                  <c:v>0.11730188523709661</c:v>
                </c:pt>
                <c:pt idx="14">
                  <c:v>0.14334768293784417</c:v>
                </c:pt>
                <c:pt idx="15">
                  <c:v>0.13112847631757885</c:v>
                </c:pt>
                <c:pt idx="16">
                  <c:v>0.10950302475869811</c:v>
                </c:pt>
                <c:pt idx="17">
                  <c:v>7.9674805382640601E-2</c:v>
                </c:pt>
                <c:pt idx="18">
                  <c:v>6.4959916612028268E-2</c:v>
                </c:pt>
                <c:pt idx="19">
                  <c:v>7.0207372462539164E-2</c:v>
                </c:pt>
                <c:pt idx="20">
                  <c:v>9.6565581965480263E-2</c:v>
                </c:pt>
                <c:pt idx="21">
                  <c:v>0.12188653057293375</c:v>
                </c:pt>
                <c:pt idx="22">
                  <c:v>0.11328186711545873</c:v>
                </c:pt>
                <c:pt idx="23">
                  <c:v>0.10151553773744348</c:v>
                </c:pt>
                <c:pt idx="24">
                  <c:v>8.6837327736351222E-2</c:v>
                </c:pt>
              </c:numCache>
            </c:numRef>
          </c:val>
          <c:smooth val="0"/>
          <c:extLst>
            <c:ext xmlns:c16="http://schemas.microsoft.com/office/drawing/2014/chart" uri="{C3380CC4-5D6E-409C-BE32-E72D297353CC}">
              <c16:uniqueId val="{00000001-2934-4368-852C-A9F81F28CE47}"/>
            </c:ext>
          </c:extLst>
        </c:ser>
        <c:ser>
          <c:idx val="1"/>
          <c:order val="1"/>
          <c:tx>
            <c:strRef>
              <c:f>Anual!$N$1</c:f>
              <c:strCache>
                <c:ptCount val="1"/>
                <c:pt idx="0">
                  <c:v>Frutas y verduras</c:v>
                </c:pt>
              </c:strCache>
            </c:strRef>
          </c:tx>
          <c:spPr>
            <a:ln w="28575" cap="rnd">
              <a:solidFill>
                <a:srgbClr val="B4C7E7"/>
              </a:solidFill>
              <a:round/>
            </a:ln>
            <a:effectLst/>
          </c:spPr>
          <c:marker>
            <c:symbol val="none"/>
          </c:marker>
          <c:dLbls>
            <c:dLbl>
              <c:idx val="24"/>
              <c:layout>
                <c:manualLayout>
                  <c:x val="1.0080645161290322E-2"/>
                  <c:y val="3.0637223774447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34-4368-852C-A9F81F28CE4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Anual!$N$864:$N$888</c:f>
              <c:numCache>
                <c:formatCode>0.00%</c:formatCode>
                <c:ptCount val="25"/>
                <c:pt idx="0">
                  <c:v>7.8496074332036869E-2</c:v>
                </c:pt>
                <c:pt idx="1">
                  <c:v>0.15482653818801917</c:v>
                </c:pt>
                <c:pt idx="2">
                  <c:v>0.20686688004222353</c:v>
                </c:pt>
                <c:pt idx="3">
                  <c:v>0.22886607456900565</c:v>
                </c:pt>
                <c:pt idx="4">
                  <c:v>0.1706514491833262</c:v>
                </c:pt>
                <c:pt idx="5">
                  <c:v>0.12926443174940294</c:v>
                </c:pt>
                <c:pt idx="6">
                  <c:v>0.11741377301451772</c:v>
                </c:pt>
                <c:pt idx="7">
                  <c:v>0.12757413500964065</c:v>
                </c:pt>
                <c:pt idx="8">
                  <c:v>0.18223670234402523</c:v>
                </c:pt>
                <c:pt idx="9">
                  <c:v>0.18918108054282246</c:v>
                </c:pt>
                <c:pt idx="10">
                  <c:v>0.19991059688834367</c:v>
                </c:pt>
                <c:pt idx="11">
                  <c:v>0.17116794825724013</c:v>
                </c:pt>
                <c:pt idx="12">
                  <c:v>0.17280094189152262</c:v>
                </c:pt>
                <c:pt idx="13">
                  <c:v>0.22132655429803183</c:v>
                </c:pt>
                <c:pt idx="14">
                  <c:v>0.25692577686119678</c:v>
                </c:pt>
                <c:pt idx="15">
                  <c:v>0.21464493945564378</c:v>
                </c:pt>
                <c:pt idx="16">
                  <c:v>0.15889132775127579</c:v>
                </c:pt>
                <c:pt idx="17">
                  <c:v>9.4009921982343592E-2</c:v>
                </c:pt>
                <c:pt idx="18">
                  <c:v>7.1518121323378425E-2</c:v>
                </c:pt>
                <c:pt idx="19">
                  <c:v>8.1482458450117257E-2</c:v>
                </c:pt>
                <c:pt idx="20">
                  <c:v>0.1280977248406272</c:v>
                </c:pt>
                <c:pt idx="21">
                  <c:v>0.19013642203844072</c:v>
                </c:pt>
                <c:pt idx="22">
                  <c:v>0.18174516448666145</c:v>
                </c:pt>
                <c:pt idx="23">
                  <c:v>0.15436456782754493</c:v>
                </c:pt>
                <c:pt idx="24">
                  <c:v>0.11228946844939425</c:v>
                </c:pt>
              </c:numCache>
            </c:numRef>
          </c:val>
          <c:smooth val="0"/>
          <c:extLst>
            <c:ext xmlns:c16="http://schemas.microsoft.com/office/drawing/2014/chart" uri="{C3380CC4-5D6E-409C-BE32-E72D297353CC}">
              <c16:uniqueId val="{00000003-2934-4368-852C-A9F81F28CE47}"/>
            </c:ext>
          </c:extLst>
        </c:ser>
        <c:ser>
          <c:idx val="2"/>
          <c:order val="2"/>
          <c:tx>
            <c:strRef>
              <c:f>Anual!$O$1</c:f>
              <c:strCache>
                <c:ptCount val="1"/>
                <c:pt idx="0">
                  <c:v>Pecuarios</c:v>
                </c:pt>
              </c:strCache>
            </c:strRef>
          </c:tx>
          <c:spPr>
            <a:ln w="28575" cap="rnd">
              <a:solidFill>
                <a:srgbClr val="FFC000"/>
              </a:solidFill>
              <a:round/>
            </a:ln>
            <a:effectLst/>
          </c:spPr>
          <c:marker>
            <c:symbol val="none"/>
          </c:marker>
          <c:dLbls>
            <c:dLbl>
              <c:idx val="24"/>
              <c:layout>
                <c:manualLayout>
                  <c:x val="3.0241935483870969E-2"/>
                  <c:y val="6.8378127381254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34-4368-852C-A9F81F28CE4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Anual!$O$864:$O$888</c:f>
              <c:numCache>
                <c:formatCode>0.00%</c:formatCode>
                <c:ptCount val="25"/>
                <c:pt idx="0">
                  <c:v>4.6966336481806259E-3</c:v>
                </c:pt>
                <c:pt idx="1">
                  <c:v>8.8734000130887836E-3</c:v>
                </c:pt>
                <c:pt idx="2">
                  <c:v>6.0382766632041118E-3</c:v>
                </c:pt>
                <c:pt idx="3">
                  <c:v>-9.8123893346369062E-3</c:v>
                </c:pt>
                <c:pt idx="4">
                  <c:v>-3.238675673253455E-2</c:v>
                </c:pt>
                <c:pt idx="5">
                  <c:v>-3.2261816588682102E-2</c:v>
                </c:pt>
                <c:pt idx="6">
                  <c:v>-8.2954508137558225E-3</c:v>
                </c:pt>
                <c:pt idx="7">
                  <c:v>-7.392960778827562E-3</c:v>
                </c:pt>
                <c:pt idx="8">
                  <c:v>-1.4971389238843225E-2</c:v>
                </c:pt>
                <c:pt idx="9">
                  <c:v>-7.6676993102668956E-3</c:v>
                </c:pt>
                <c:pt idx="10">
                  <c:v>2.212346047454572E-3</c:v>
                </c:pt>
                <c:pt idx="11">
                  <c:v>1.2023186710317324E-2</c:v>
                </c:pt>
                <c:pt idx="12">
                  <c:v>2.4565599944786687E-2</c:v>
                </c:pt>
                <c:pt idx="13">
                  <c:v>3.3237274536214612E-2</c:v>
                </c:pt>
                <c:pt idx="14">
                  <c:v>4.8214019696821486E-2</c:v>
                </c:pt>
                <c:pt idx="15">
                  <c:v>5.9018581884569654E-2</c:v>
                </c:pt>
                <c:pt idx="16">
                  <c:v>6.2774776141642397E-2</c:v>
                </c:pt>
                <c:pt idx="17">
                  <c:v>5.9697050076451541E-2</c:v>
                </c:pt>
                <c:pt idx="18">
                  <c:v>5.0791680004655282E-2</c:v>
                </c:pt>
                <c:pt idx="19">
                  <c:v>5.1931644486839401E-2</c:v>
                </c:pt>
                <c:pt idx="20">
                  <c:v>6.2632617033673732E-2</c:v>
                </c:pt>
                <c:pt idx="21">
                  <c:v>6.0839051059382365E-2</c:v>
                </c:pt>
                <c:pt idx="22">
                  <c:v>5.1942037892293458E-2</c:v>
                </c:pt>
                <c:pt idx="23">
                  <c:v>5.0948030763890317E-2</c:v>
                </c:pt>
                <c:pt idx="24">
                  <c:v>5.7929621246620489E-2</c:v>
                </c:pt>
              </c:numCache>
            </c:numRef>
          </c:val>
          <c:smooth val="0"/>
          <c:extLst>
            <c:ext xmlns:c16="http://schemas.microsoft.com/office/drawing/2014/chart" uri="{C3380CC4-5D6E-409C-BE32-E72D297353CC}">
              <c16:uniqueId val="{00000005-2934-4368-852C-A9F81F28CE47}"/>
            </c:ext>
          </c:extLst>
        </c:ser>
        <c:dLbls>
          <c:showLegendKey val="0"/>
          <c:showVal val="0"/>
          <c:showCatName val="0"/>
          <c:showSerName val="0"/>
          <c:showPercent val="0"/>
          <c:showBubbleSize val="0"/>
        </c:dLbls>
        <c:smooth val="0"/>
        <c:axId val="746436624"/>
        <c:axId val="746437608"/>
      </c:lineChart>
      <c:catAx>
        <c:axId val="746436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746437608"/>
        <c:crosses val="autoZero"/>
        <c:auto val="1"/>
        <c:lblAlgn val="ctr"/>
        <c:lblOffset val="100"/>
        <c:noMultiLvlLbl val="0"/>
      </c:catAx>
      <c:valAx>
        <c:axId val="746437608"/>
        <c:scaling>
          <c:orientation val="minMax"/>
          <c:max val="0.26"/>
          <c:min val="-4.0000000000000008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746436624"/>
        <c:crosses val="autoZero"/>
        <c:crossBetween val="between"/>
      </c:valAx>
      <c:spPr>
        <a:noFill/>
        <a:ln>
          <a:noFill/>
        </a:ln>
        <a:effectLst/>
      </c:spPr>
    </c:plotArea>
    <c:legend>
      <c:legendPos val="b"/>
      <c:layout>
        <c:manualLayout>
          <c:xMode val="edge"/>
          <c:yMode val="edge"/>
          <c:x val="2.0000547757414531E-3"/>
          <c:y val="0.89548752222504446"/>
          <c:w val="0.99799981908260971"/>
          <c:h val="6.4795132715265435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Leelawadee" panose="020B0502040204020203" pitchFamily="34" charset="-34"/>
          <a:cs typeface="Leelawadee" panose="020B0502040204020203" pitchFamily="34" charset="-34"/>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r>
              <a:rPr lang="en-US" sz="800" b="1">
                <a:latin typeface="Leelawadee UI" panose="020B0502040204020203" pitchFamily="34" charset="-34"/>
                <a:cs typeface="Leelawadee UI" panose="020B0502040204020203" pitchFamily="34" charset="-34"/>
              </a:rPr>
              <a:t>Figura 9. </a:t>
            </a:r>
            <a:r>
              <a:rPr lang="en-US" sz="800">
                <a:latin typeface="Leelawadee UI" panose="020B0502040204020203" pitchFamily="34" charset="-34"/>
                <a:cs typeface="Leelawadee UI" panose="020B0502040204020203" pitchFamily="34" charset="-34"/>
              </a:rPr>
              <a:t>Inflación de energéticos y tarifas autorizadas por el gobierno</a:t>
            </a:r>
            <a:r>
              <a:rPr lang="en-US" sz="800" baseline="0">
                <a:latin typeface="Leelawadee UI" panose="020B0502040204020203" pitchFamily="34" charset="-34"/>
                <a:cs typeface="Leelawadee UI" panose="020B0502040204020203" pitchFamily="34" charset="-34"/>
              </a:rPr>
              <a:t> y desagregación, tasa anual</a:t>
            </a:r>
            <a:endParaRPr lang="en-US" sz="800">
              <a:latin typeface="Leelawadee UI" panose="020B0502040204020203" pitchFamily="34" charset="-34"/>
              <a:cs typeface="Leelawadee UI" panose="020B0502040204020203" pitchFamily="34" charset="-34"/>
            </a:endParaRPr>
          </a:p>
        </c:rich>
      </c:tx>
      <c:layout>
        <c:manualLayout>
          <c:xMode val="edge"/>
          <c:yMode val="edge"/>
          <c:x val="0.112605943687964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title>
    <c:autoTitleDeleted val="0"/>
    <c:plotArea>
      <c:layout>
        <c:manualLayout>
          <c:layoutTarget val="inner"/>
          <c:xMode val="edge"/>
          <c:yMode val="edge"/>
          <c:x val="0.10969618055555555"/>
          <c:y val="0.12487369311394216"/>
          <c:w val="0.73151550990601977"/>
          <c:h val="0.4928867951485903"/>
        </c:manualLayout>
      </c:layout>
      <c:lineChart>
        <c:grouping val="standard"/>
        <c:varyColors val="0"/>
        <c:ser>
          <c:idx val="0"/>
          <c:order val="0"/>
          <c:tx>
            <c:strRef>
              <c:f>Anual!$P$1</c:f>
              <c:strCache>
                <c:ptCount val="1"/>
                <c:pt idx="0">
                  <c:v>Energéticos y tarifas autorizadas</c:v>
                </c:pt>
              </c:strCache>
            </c:strRef>
          </c:tx>
          <c:spPr>
            <a:ln w="28575" cap="rnd">
              <a:solidFill>
                <a:srgbClr val="17365D"/>
              </a:solidFill>
              <a:round/>
            </a:ln>
            <a:effectLst/>
          </c:spPr>
          <c:marker>
            <c:symbol val="none"/>
          </c:marker>
          <c:dLbls>
            <c:dLbl>
              <c:idx val="24"/>
              <c:layout>
                <c:manualLayout>
                  <c:x val="1.0080645161290322E-2"/>
                  <c:y val="-1.1384779019558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38-4399-B109-38D5CA9F442B}"/>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Anual!$P$864:$P$888</c:f>
              <c:numCache>
                <c:formatCode>0.00%</c:formatCode>
                <c:ptCount val="25"/>
                <c:pt idx="0">
                  <c:v>1.0017081002670292E-2</c:v>
                </c:pt>
                <c:pt idx="1">
                  <c:v>1.9109291505366999E-2</c:v>
                </c:pt>
                <c:pt idx="2">
                  <c:v>1.4125234534603015E-2</c:v>
                </c:pt>
                <c:pt idx="3">
                  <c:v>1.4141161838705729E-2</c:v>
                </c:pt>
                <c:pt idx="4">
                  <c:v>2.4382091518109439E-2</c:v>
                </c:pt>
                <c:pt idx="5">
                  <c:v>3.059261507279154E-2</c:v>
                </c:pt>
                <c:pt idx="6">
                  <c:v>3.1152499126856803E-2</c:v>
                </c:pt>
                <c:pt idx="7">
                  <c:v>3.4567220581612768E-2</c:v>
                </c:pt>
                <c:pt idx="8">
                  <c:v>4.0064569932212857E-2</c:v>
                </c:pt>
                <c:pt idx="9">
                  <c:v>3.9509537947889584E-2</c:v>
                </c:pt>
                <c:pt idx="10">
                  <c:v>4.0843149631454301E-2</c:v>
                </c:pt>
                <c:pt idx="11">
                  <c:v>4.313682070177749E-2</c:v>
                </c:pt>
                <c:pt idx="12">
                  <c:v>4.7371213273735391E-2</c:v>
                </c:pt>
                <c:pt idx="13">
                  <c:v>5.8294956744371573E-2</c:v>
                </c:pt>
                <c:pt idx="14">
                  <c:v>7.2966564500222875E-2</c:v>
                </c:pt>
                <c:pt idx="15">
                  <c:v>7.3300065130422309E-2</c:v>
                </c:pt>
                <c:pt idx="16">
                  <c:v>6.735148145054759E-2</c:v>
                </c:pt>
                <c:pt idx="17">
                  <c:v>6.4174070557972085E-2</c:v>
                </c:pt>
                <c:pt idx="18">
                  <c:v>6.6677236201724943E-2</c:v>
                </c:pt>
                <c:pt idx="19">
                  <c:v>5.3491157223543917E-2</c:v>
                </c:pt>
                <c:pt idx="20">
                  <c:v>4.6925155186819278E-2</c:v>
                </c:pt>
                <c:pt idx="21">
                  <c:v>4.5515269400241198E-2</c:v>
                </c:pt>
                <c:pt idx="22">
                  <c:v>4.1839006892653074E-2</c:v>
                </c:pt>
                <c:pt idx="23">
                  <c:v>4.9215678205392965E-2</c:v>
                </c:pt>
                <c:pt idx="24">
                  <c:v>5.1122398232008148E-2</c:v>
                </c:pt>
              </c:numCache>
            </c:numRef>
          </c:val>
          <c:smooth val="0"/>
          <c:extLst>
            <c:ext xmlns:c16="http://schemas.microsoft.com/office/drawing/2014/chart" uri="{C3380CC4-5D6E-409C-BE32-E72D297353CC}">
              <c16:uniqueId val="{00000001-BD38-4399-B109-38D5CA9F442B}"/>
            </c:ext>
          </c:extLst>
        </c:ser>
        <c:ser>
          <c:idx val="1"/>
          <c:order val="1"/>
          <c:tx>
            <c:strRef>
              <c:f>Anual!$Q$1</c:f>
              <c:strCache>
                <c:ptCount val="1"/>
                <c:pt idx="0">
                  <c:v>Energéticos</c:v>
                </c:pt>
              </c:strCache>
            </c:strRef>
          </c:tx>
          <c:spPr>
            <a:ln w="28575" cap="rnd">
              <a:solidFill>
                <a:srgbClr val="B4C7E7"/>
              </a:solidFill>
              <a:round/>
            </a:ln>
            <a:effectLst/>
          </c:spPr>
          <c:marker>
            <c:symbol val="none"/>
          </c:marker>
          <c:dLbls>
            <c:dLbl>
              <c:idx val="24"/>
              <c:layout>
                <c:manualLayout>
                  <c:x val="1.0080645161290322E-2"/>
                  <c:y val="-5.474782512065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38-4399-B109-38D5CA9F442B}"/>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Anual!$Q$864:$Q$888</c:f>
              <c:numCache>
                <c:formatCode>0.00%</c:formatCode>
                <c:ptCount val="25"/>
                <c:pt idx="0">
                  <c:v>-5.8462856453873613E-3</c:v>
                </c:pt>
                <c:pt idx="1">
                  <c:v>7.0409861394489237E-3</c:v>
                </c:pt>
                <c:pt idx="2">
                  <c:v>1.5982631494788624E-3</c:v>
                </c:pt>
                <c:pt idx="3">
                  <c:v>2.6057098093092979E-3</c:v>
                </c:pt>
                <c:pt idx="4">
                  <c:v>1.7645782923853881E-2</c:v>
                </c:pt>
                <c:pt idx="5">
                  <c:v>2.7889544529386079E-2</c:v>
                </c:pt>
                <c:pt idx="6">
                  <c:v>2.9737211324093682E-2</c:v>
                </c:pt>
                <c:pt idx="7">
                  <c:v>3.5195530227861038E-2</c:v>
                </c:pt>
                <c:pt idx="8">
                  <c:v>4.3872416327349395E-2</c:v>
                </c:pt>
                <c:pt idx="9">
                  <c:v>4.3719391859660339E-2</c:v>
                </c:pt>
                <c:pt idx="10">
                  <c:v>4.660232852544266E-2</c:v>
                </c:pt>
                <c:pt idx="11">
                  <c:v>4.9673020870349971E-2</c:v>
                </c:pt>
                <c:pt idx="12">
                  <c:v>5.5239143805661195E-2</c:v>
                </c:pt>
                <c:pt idx="13">
                  <c:v>7.1233468797970767E-2</c:v>
                </c:pt>
                <c:pt idx="14">
                  <c:v>9.1639215337541158E-2</c:v>
                </c:pt>
                <c:pt idx="15">
                  <c:v>9.1726908724931722E-2</c:v>
                </c:pt>
                <c:pt idx="16">
                  <c:v>8.1539461510119482E-2</c:v>
                </c:pt>
                <c:pt idx="17">
                  <c:v>7.6754541641915752E-2</c:v>
                </c:pt>
                <c:pt idx="18">
                  <c:v>7.9224235052357983E-2</c:v>
                </c:pt>
                <c:pt idx="19">
                  <c:v>5.9352445838457557E-2</c:v>
                </c:pt>
                <c:pt idx="20">
                  <c:v>5.1898657000030601E-2</c:v>
                </c:pt>
                <c:pt idx="21">
                  <c:v>5.0025041327713682E-2</c:v>
                </c:pt>
                <c:pt idx="22">
                  <c:v>4.7412160954934279E-2</c:v>
                </c:pt>
                <c:pt idx="23">
                  <c:v>5.7697073785916819E-2</c:v>
                </c:pt>
                <c:pt idx="24">
                  <c:v>5.9080090592946943E-2</c:v>
                </c:pt>
              </c:numCache>
            </c:numRef>
          </c:val>
          <c:smooth val="0"/>
          <c:extLst>
            <c:ext xmlns:c16="http://schemas.microsoft.com/office/drawing/2014/chart" uri="{C3380CC4-5D6E-409C-BE32-E72D297353CC}">
              <c16:uniqueId val="{00000003-BD38-4399-B109-38D5CA9F442B}"/>
            </c:ext>
          </c:extLst>
        </c:ser>
        <c:ser>
          <c:idx val="2"/>
          <c:order val="2"/>
          <c:tx>
            <c:strRef>
              <c:f>Anual!$R$1</c:f>
              <c:strCache>
                <c:ptCount val="1"/>
                <c:pt idx="0">
                  <c:v>Tarifas autorizadas</c:v>
                </c:pt>
              </c:strCache>
            </c:strRef>
          </c:tx>
          <c:spPr>
            <a:ln w="28575" cap="rnd">
              <a:solidFill>
                <a:srgbClr val="FFC000"/>
              </a:solidFill>
              <a:round/>
            </a:ln>
            <a:effectLst/>
          </c:spPr>
          <c:marker>
            <c:symbol val="none"/>
          </c:marker>
          <c:dLbls>
            <c:dLbl>
              <c:idx val="24"/>
              <c:layout>
                <c:manualLayout>
                  <c:x val="1.0080645161290322E-2"/>
                  <c:y val="1.323501397002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38-4399-B109-38D5CA9F442B}"/>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Leelawadee" panose="020B0502040204020203" pitchFamily="34" charset="-34"/>
                    <a:ea typeface="+mn-ea"/>
                    <a:cs typeface="Leelawadee" panose="020B0502040204020203" pitchFamily="34" charset="-34"/>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Anual!$A$864:$A$888</c:f>
              <c:strCache>
                <c:ptCount val="25"/>
                <c:pt idx="0">
                  <c:v>1Q Dic 2023</c:v>
                </c:pt>
                <c:pt idx="1">
                  <c:v>2Q Dic 2023</c:v>
                </c:pt>
                <c:pt idx="2">
                  <c:v>1Q Ene 2024</c:v>
                </c:pt>
                <c:pt idx="3">
                  <c:v>2Q Ene 2024</c:v>
                </c:pt>
                <c:pt idx="4">
                  <c:v>1Q Feb 2024</c:v>
                </c:pt>
                <c:pt idx="5">
                  <c:v>2Q Feb 2024</c:v>
                </c:pt>
                <c:pt idx="6">
                  <c:v>1Q Mar 2024</c:v>
                </c:pt>
                <c:pt idx="7">
                  <c:v>2Q Mar 2024</c:v>
                </c:pt>
                <c:pt idx="8">
                  <c:v>1Q Abr 2024</c:v>
                </c:pt>
                <c:pt idx="9">
                  <c:v>2Q Abr 2024</c:v>
                </c:pt>
                <c:pt idx="10">
                  <c:v>1Q May 2024</c:v>
                </c:pt>
                <c:pt idx="11">
                  <c:v>2Q May 2024</c:v>
                </c:pt>
                <c:pt idx="12">
                  <c:v>1Q Jun 2024</c:v>
                </c:pt>
                <c:pt idx="13">
                  <c:v>2Q Jun 2024</c:v>
                </c:pt>
                <c:pt idx="14">
                  <c:v>1Q Jul 2024</c:v>
                </c:pt>
                <c:pt idx="15">
                  <c:v>2Q Jul 2024</c:v>
                </c:pt>
                <c:pt idx="16">
                  <c:v>1Q Ago 2024</c:v>
                </c:pt>
                <c:pt idx="17">
                  <c:v>2Q Ago 2024</c:v>
                </c:pt>
                <c:pt idx="18">
                  <c:v>1Q Sep 2024</c:v>
                </c:pt>
                <c:pt idx="19">
                  <c:v>2Q Sep 2024</c:v>
                </c:pt>
                <c:pt idx="20">
                  <c:v>1Q Oct 2024</c:v>
                </c:pt>
                <c:pt idx="21">
                  <c:v>2Q Oct 2024</c:v>
                </c:pt>
                <c:pt idx="22">
                  <c:v>1Q Nov 2024</c:v>
                </c:pt>
                <c:pt idx="23">
                  <c:v>2Q Nov 2024</c:v>
                </c:pt>
                <c:pt idx="24">
                  <c:v>1Q Dic 2024</c:v>
                </c:pt>
              </c:strCache>
            </c:strRef>
          </c:cat>
          <c:val>
            <c:numRef>
              <c:f>Anual!$R$864:$R$888</c:f>
              <c:numCache>
                <c:formatCode>0.00%</c:formatCode>
                <c:ptCount val="25"/>
                <c:pt idx="0">
                  <c:v>4.8424362758805906E-2</c:v>
                </c:pt>
                <c:pt idx="1">
                  <c:v>4.803447721095111E-2</c:v>
                </c:pt>
                <c:pt idx="2">
                  <c:v>4.4052650158722839E-2</c:v>
                </c:pt>
                <c:pt idx="3">
                  <c:v>4.1689684657614468E-2</c:v>
                </c:pt>
                <c:pt idx="4">
                  <c:v>4.0485890230419264E-2</c:v>
                </c:pt>
                <c:pt idx="5">
                  <c:v>3.7014816245142246E-2</c:v>
                </c:pt>
                <c:pt idx="6">
                  <c:v>3.4487808862837754E-2</c:v>
                </c:pt>
                <c:pt idx="7">
                  <c:v>3.3098472400833856E-2</c:v>
                </c:pt>
                <c:pt idx="8">
                  <c:v>3.1483403685443001E-2</c:v>
                </c:pt>
                <c:pt idx="9">
                  <c:v>3.002042094532964E-2</c:v>
                </c:pt>
                <c:pt idx="10">
                  <c:v>2.845874697353068E-2</c:v>
                </c:pt>
                <c:pt idx="11">
                  <c:v>2.9221838539509548E-2</c:v>
                </c:pt>
                <c:pt idx="12">
                  <c:v>3.0716357422479357E-2</c:v>
                </c:pt>
                <c:pt idx="13">
                  <c:v>3.1059272587432352E-2</c:v>
                </c:pt>
                <c:pt idx="14">
                  <c:v>3.3833241908748146E-2</c:v>
                </c:pt>
                <c:pt idx="15">
                  <c:v>3.4564765208271675E-2</c:v>
                </c:pt>
                <c:pt idx="16">
                  <c:v>3.6992784495869513E-2</c:v>
                </c:pt>
                <c:pt idx="17">
                  <c:v>3.7365060893792101E-2</c:v>
                </c:pt>
                <c:pt idx="18">
                  <c:v>3.9495004182974025E-2</c:v>
                </c:pt>
                <c:pt idx="19">
                  <c:v>3.9126066355535727E-2</c:v>
                </c:pt>
                <c:pt idx="20">
                  <c:v>3.8120243987019631E-2</c:v>
                </c:pt>
                <c:pt idx="21">
                  <c:v>3.7731305505249502E-2</c:v>
                </c:pt>
                <c:pt idx="22">
                  <c:v>3.7590170733721839E-2</c:v>
                </c:pt>
                <c:pt idx="23">
                  <c:v>3.9036920440497003E-2</c:v>
                </c:pt>
                <c:pt idx="24">
                  <c:v>4.1734134635012188E-2</c:v>
                </c:pt>
              </c:numCache>
            </c:numRef>
          </c:val>
          <c:smooth val="0"/>
          <c:extLst>
            <c:ext xmlns:c16="http://schemas.microsoft.com/office/drawing/2014/chart" uri="{C3380CC4-5D6E-409C-BE32-E72D297353CC}">
              <c16:uniqueId val="{00000005-BD38-4399-B109-38D5CA9F442B}"/>
            </c:ext>
          </c:extLst>
        </c:ser>
        <c:dLbls>
          <c:showLegendKey val="0"/>
          <c:showVal val="0"/>
          <c:showCatName val="0"/>
          <c:showSerName val="0"/>
          <c:showPercent val="0"/>
          <c:showBubbleSize val="0"/>
        </c:dLbls>
        <c:smooth val="0"/>
        <c:axId val="746436624"/>
        <c:axId val="746437608"/>
      </c:lineChart>
      <c:catAx>
        <c:axId val="746436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746437608"/>
        <c:crosses val="autoZero"/>
        <c:auto val="1"/>
        <c:lblAlgn val="ctr"/>
        <c:lblOffset val="100"/>
        <c:noMultiLvlLbl val="0"/>
      </c:catAx>
      <c:valAx>
        <c:axId val="746437608"/>
        <c:scaling>
          <c:orientation val="minMax"/>
          <c:max val="0.11000000000000001"/>
          <c:min val="-1.0000000000000002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crossAx val="746436624"/>
        <c:crosses val="autoZero"/>
        <c:crossBetween val="between"/>
      </c:valAx>
      <c:spPr>
        <a:noFill/>
        <a:ln>
          <a:noFill/>
        </a:ln>
        <a:effectLst/>
      </c:spPr>
    </c:plotArea>
    <c:legend>
      <c:legendPos val="b"/>
      <c:layout>
        <c:manualLayout>
          <c:xMode val="edge"/>
          <c:yMode val="edge"/>
          <c:x val="2.0000547757414531E-3"/>
          <c:y val="0.85516494157988321"/>
          <c:w val="0.99799981908260971"/>
          <c:h val="0.11015803594107189"/>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Leelawadee UI" panose="020B0502040204020203" pitchFamily="34" charset="-34"/>
              <a:ea typeface="+mn-ea"/>
              <a:cs typeface="Leelawadee UI" panose="020B0502040204020203" pitchFamily="34" charset="-34"/>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Leelawadee" panose="020B0502040204020203" pitchFamily="34" charset="-34"/>
          <a:cs typeface="Leelawadee" panose="020B0502040204020203" pitchFamily="34" charset="-34"/>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0.92227</cdr:y>
    </cdr:from>
    <cdr:to>
      <cdr:x>1</cdr:x>
      <cdr:y>0.98801</cdr:y>
    </cdr:to>
    <cdr:sp macro="" textlink="">
      <cdr:nvSpPr>
        <cdr:cNvPr id="2" name="TextBox 1"/>
        <cdr:cNvSpPr txBox="1"/>
      </cdr:nvSpPr>
      <cdr:spPr>
        <a:xfrm xmlns:a="http://schemas.openxmlformats.org/drawingml/2006/main">
          <a:off x="0" y="1991762"/>
          <a:ext cx="5939790" cy="1419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700">
              <a:latin typeface="+mj-lt"/>
              <a:cs typeface="Leelawadee UI" panose="020B0502040204020203" pitchFamily="34" charset="-34"/>
            </a:rPr>
            <a:t>Fuente: Gurpo Financiero Base</a:t>
          </a:r>
          <a:r>
            <a:rPr lang="es-MX" sz="700" baseline="0">
              <a:latin typeface="+mj-lt"/>
              <a:cs typeface="Leelawadee UI" panose="020B0502040204020203" pitchFamily="34" charset="-34"/>
            </a:rPr>
            <a:t> con información de INEGI.</a:t>
          </a:r>
          <a:endParaRPr lang="es-MX" sz="700">
            <a:latin typeface="+mj-lt"/>
            <a:cs typeface="Leelawadee UI" panose="020B0502040204020203" pitchFamily="34" charset="-34"/>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0.91702</cdr:y>
    </cdr:from>
    <cdr:to>
      <cdr:x>0.98291</cdr:x>
      <cdr:y>0.99226</cdr:y>
    </cdr:to>
    <cdr:sp macro="" textlink="">
      <cdr:nvSpPr>
        <cdr:cNvPr id="2" name="TextBox 1">
          <a:extLst xmlns:a="http://schemas.openxmlformats.org/drawingml/2006/main">
            <a:ext uri="{FF2B5EF4-FFF2-40B4-BE49-F238E27FC236}">
              <a16:creationId xmlns:a16="http://schemas.microsoft.com/office/drawing/2014/main" id="{C4A150A0-D26C-E538-5EE7-6F1E90E919FF}"/>
            </a:ext>
          </a:extLst>
        </cdr:cNvPr>
        <cdr:cNvSpPr txBox="1"/>
      </cdr:nvSpPr>
      <cdr:spPr>
        <a:xfrm xmlns:a="http://schemas.openxmlformats.org/drawingml/2006/main">
          <a:off x="0" y="1980767"/>
          <a:ext cx="2119965" cy="1625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0.91702</cdr:y>
    </cdr:from>
    <cdr:to>
      <cdr:x>0.98291</cdr:x>
      <cdr:y>0.99226</cdr:y>
    </cdr:to>
    <cdr:sp macro="" textlink="">
      <cdr:nvSpPr>
        <cdr:cNvPr id="2" name="TextBox 1">
          <a:extLst xmlns:a="http://schemas.openxmlformats.org/drawingml/2006/main">
            <a:ext uri="{FF2B5EF4-FFF2-40B4-BE49-F238E27FC236}">
              <a16:creationId xmlns:a16="http://schemas.microsoft.com/office/drawing/2014/main" id="{C4A150A0-D26C-E538-5EE7-6F1E90E919FF}"/>
            </a:ext>
          </a:extLst>
        </cdr:cNvPr>
        <cdr:cNvSpPr txBox="1"/>
      </cdr:nvSpPr>
      <cdr:spPr>
        <a:xfrm xmlns:a="http://schemas.openxmlformats.org/drawingml/2006/main">
          <a:off x="0" y="1980767"/>
          <a:ext cx="2119965" cy="1625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0.91702</cdr:y>
    </cdr:from>
    <cdr:to>
      <cdr:x>0.98291</cdr:x>
      <cdr:y>0.99226</cdr:y>
    </cdr:to>
    <cdr:sp macro="" textlink="">
      <cdr:nvSpPr>
        <cdr:cNvPr id="2" name="TextBox 1">
          <a:extLst xmlns:a="http://schemas.openxmlformats.org/drawingml/2006/main">
            <a:ext uri="{FF2B5EF4-FFF2-40B4-BE49-F238E27FC236}">
              <a16:creationId xmlns:a16="http://schemas.microsoft.com/office/drawing/2014/main" id="{C4A150A0-D26C-E538-5EE7-6F1E90E919FF}"/>
            </a:ext>
          </a:extLst>
        </cdr:cNvPr>
        <cdr:cNvSpPr txBox="1"/>
      </cdr:nvSpPr>
      <cdr:spPr>
        <a:xfrm xmlns:a="http://schemas.openxmlformats.org/drawingml/2006/main">
          <a:off x="0" y="1980767"/>
          <a:ext cx="2119965" cy="1625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0.00222</cdr:x>
      <cdr:y>0.9354</cdr:y>
    </cdr:from>
    <cdr:to>
      <cdr:x>0.98903</cdr:x>
      <cdr:y>0.99567</cdr:y>
    </cdr:to>
    <cdr:sp macro="" textlink="">
      <cdr:nvSpPr>
        <cdr:cNvPr id="2" name="TextBox 1"/>
        <cdr:cNvSpPr txBox="1"/>
      </cdr:nvSpPr>
      <cdr:spPr>
        <a:xfrm xmlns:a="http://schemas.openxmlformats.org/drawingml/2006/main">
          <a:off x="5594" y="2357219"/>
          <a:ext cx="2486762" cy="1518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0.00222</cdr:x>
      <cdr:y>0.93994</cdr:y>
    </cdr:from>
    <cdr:to>
      <cdr:x>0.98903</cdr:x>
      <cdr:y>0.99567</cdr:y>
    </cdr:to>
    <cdr:sp macro="" textlink="">
      <cdr:nvSpPr>
        <cdr:cNvPr id="2" name="TextBox 1"/>
        <cdr:cNvSpPr txBox="1"/>
      </cdr:nvSpPr>
      <cdr:spPr>
        <a:xfrm xmlns:a="http://schemas.openxmlformats.org/drawingml/2006/main">
          <a:off x="10921" y="3757532"/>
          <a:ext cx="4857193" cy="222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0.00222</cdr:x>
      <cdr:y>0.93994</cdr:y>
    </cdr:from>
    <cdr:to>
      <cdr:x>0.98903</cdr:x>
      <cdr:y>0.99567</cdr:y>
    </cdr:to>
    <cdr:sp macro="" textlink="">
      <cdr:nvSpPr>
        <cdr:cNvPr id="2" name="TextBox 1"/>
        <cdr:cNvSpPr txBox="1"/>
      </cdr:nvSpPr>
      <cdr:spPr>
        <a:xfrm xmlns:a="http://schemas.openxmlformats.org/drawingml/2006/main">
          <a:off x="10921" y="3757532"/>
          <a:ext cx="4857193" cy="222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0.00222</cdr:x>
      <cdr:y>0.93994</cdr:y>
    </cdr:from>
    <cdr:to>
      <cdr:x>0.98903</cdr:x>
      <cdr:y>0.99567</cdr:y>
    </cdr:to>
    <cdr:sp macro="" textlink="">
      <cdr:nvSpPr>
        <cdr:cNvPr id="2" name="TextBox 1"/>
        <cdr:cNvSpPr txBox="1"/>
      </cdr:nvSpPr>
      <cdr:spPr>
        <a:xfrm xmlns:a="http://schemas.openxmlformats.org/drawingml/2006/main">
          <a:off x="10921" y="3757532"/>
          <a:ext cx="4857193" cy="222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0.00222</cdr:x>
      <cdr:y>0.93994</cdr:y>
    </cdr:from>
    <cdr:to>
      <cdr:x>0.98903</cdr:x>
      <cdr:y>0.99567</cdr:y>
    </cdr:to>
    <cdr:sp macro="" textlink="">
      <cdr:nvSpPr>
        <cdr:cNvPr id="2" name="TextBox 1"/>
        <cdr:cNvSpPr txBox="1"/>
      </cdr:nvSpPr>
      <cdr:spPr>
        <a:xfrm xmlns:a="http://schemas.openxmlformats.org/drawingml/2006/main">
          <a:off x="10921" y="3757532"/>
          <a:ext cx="4857193" cy="222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700">
              <a:latin typeface="Leelawadee UI" panose="020B0502040204020203" pitchFamily="34" charset="-34"/>
              <a:cs typeface="Leelawadee UI" panose="020B0502040204020203" pitchFamily="34" charset="-34"/>
            </a:rPr>
            <a:t>Fuente: GF Base </a:t>
          </a:r>
          <a:r>
            <a:rPr lang="es-MX" sz="700" baseline="0">
              <a:latin typeface="Leelawadee UI" panose="020B0502040204020203" pitchFamily="34" charset="-34"/>
              <a:cs typeface="Leelawadee UI" panose="020B0502040204020203" pitchFamily="34" charset="-34"/>
            </a:rPr>
            <a:t>con información de INEGI.</a:t>
          </a:r>
          <a:endParaRPr lang="es-MX" sz="700">
            <a:latin typeface="Leelawadee UI" panose="020B0502040204020203" pitchFamily="34" charset="-34"/>
            <a:cs typeface="Leelawadee UI" panose="020B0502040204020203" pitchFamily="34" charset="-34"/>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14D0-4529-4DFD-8F66-332AAFDB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2030</Words>
  <Characters>11576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Anacarsis Lopez Flores</dc:creator>
  <cp:lastModifiedBy>Johnny Alexander González Cuellar</cp:lastModifiedBy>
  <cp:revision>197</cp:revision>
  <cp:lastPrinted>2024-12-23T18:34:00Z</cp:lastPrinted>
  <dcterms:created xsi:type="dcterms:W3CDTF">2024-10-02T15:09:00Z</dcterms:created>
  <dcterms:modified xsi:type="dcterms:W3CDTF">2024-12-23T18:37:00Z</dcterms:modified>
</cp:coreProperties>
</file>